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3F098" w14:textId="77777777" w:rsidR="000E77B4" w:rsidRPr="00E179AD" w:rsidRDefault="000E77B4" w:rsidP="000E77B4">
      <w:pPr>
        <w:jc w:val="center"/>
        <w:rPr>
          <w:b/>
        </w:rPr>
      </w:pPr>
      <w:bookmarkStart w:id="0" w:name="_Toc34397454"/>
    </w:p>
    <w:p w14:paraId="54A1AE37"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59A55A42" w14:textId="77777777" w:rsidR="000E77B4" w:rsidRDefault="000E77B4" w:rsidP="000E77B4">
      <w:pPr>
        <w:pBdr>
          <w:top w:val="single" w:sz="12" w:space="1" w:color="auto"/>
          <w:left w:val="single" w:sz="12" w:space="4" w:color="auto"/>
          <w:bottom w:val="single" w:sz="12" w:space="1" w:color="auto"/>
          <w:right w:val="single" w:sz="12" w:space="4" w:color="auto"/>
        </w:pBdr>
        <w:jc w:val="center"/>
        <w:rPr>
          <w:b/>
        </w:rPr>
      </w:pPr>
    </w:p>
    <w:p w14:paraId="37846D7E"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6E695A9B" w14:textId="633C4B44" w:rsidR="000E77B4" w:rsidRPr="00953281" w:rsidRDefault="000E77B4" w:rsidP="000E77B4">
      <w:pPr>
        <w:pStyle w:val="TOCHeading"/>
        <w:pBdr>
          <w:top w:val="single" w:sz="12" w:space="1" w:color="auto"/>
          <w:left w:val="single" w:sz="12" w:space="4" w:color="auto"/>
          <w:bottom w:val="single" w:sz="12" w:space="1" w:color="auto"/>
          <w:right w:val="single" w:sz="12" w:space="4" w:color="auto"/>
        </w:pBdr>
        <w:rPr>
          <w:sz w:val="48"/>
          <w:szCs w:val="48"/>
        </w:rPr>
      </w:pPr>
      <w:r w:rsidRPr="00953281">
        <w:rPr>
          <w:sz w:val="48"/>
          <w:szCs w:val="48"/>
        </w:rPr>
        <w:t xml:space="preserve">Economic </w:t>
      </w:r>
      <w:r>
        <w:rPr>
          <w:sz w:val="48"/>
          <w:szCs w:val="48"/>
        </w:rPr>
        <w:t>Contributions of Distilled Spirits in Texas 20</w:t>
      </w:r>
      <w:r w:rsidR="00FC1A1C">
        <w:rPr>
          <w:sz w:val="48"/>
          <w:szCs w:val="48"/>
        </w:rPr>
        <w:t>20</w:t>
      </w:r>
    </w:p>
    <w:p w14:paraId="5AC5D25C" w14:textId="77777777" w:rsidR="000E77B4" w:rsidRPr="00953281" w:rsidRDefault="000E77B4" w:rsidP="000E77B4">
      <w:pPr>
        <w:pBdr>
          <w:top w:val="single" w:sz="12" w:space="1" w:color="auto"/>
          <w:left w:val="single" w:sz="12" w:space="4" w:color="auto"/>
          <w:bottom w:val="single" w:sz="12" w:space="1" w:color="auto"/>
          <w:right w:val="single" w:sz="12" w:space="4" w:color="auto"/>
        </w:pBdr>
      </w:pPr>
    </w:p>
    <w:p w14:paraId="7223FC8B" w14:textId="77777777" w:rsidR="000E77B4" w:rsidRPr="00953281" w:rsidRDefault="000E77B4" w:rsidP="000E77B4">
      <w:pPr>
        <w:pStyle w:val="TOCHeading"/>
        <w:pBdr>
          <w:top w:val="single" w:sz="12" w:space="1" w:color="auto"/>
          <w:left w:val="single" w:sz="12" w:space="4" w:color="auto"/>
          <w:bottom w:val="single" w:sz="12" w:space="1" w:color="auto"/>
          <w:right w:val="single" w:sz="12" w:space="4" w:color="auto"/>
        </w:pBdr>
        <w:spacing w:before="0" w:line="240" w:lineRule="auto"/>
        <w:rPr>
          <w:b w:val="0"/>
        </w:rPr>
      </w:pPr>
    </w:p>
    <w:p w14:paraId="699C5AA1" w14:textId="77777777" w:rsidR="000E77B4" w:rsidRPr="00953281" w:rsidRDefault="000E77B4" w:rsidP="000E77B4">
      <w:pPr>
        <w:pStyle w:val="TOCHeading"/>
        <w:pBdr>
          <w:top w:val="single" w:sz="12" w:space="1" w:color="auto"/>
          <w:left w:val="single" w:sz="12" w:space="4" w:color="auto"/>
          <w:bottom w:val="single" w:sz="12" w:space="1" w:color="auto"/>
          <w:right w:val="single" w:sz="12" w:space="4" w:color="auto"/>
        </w:pBdr>
        <w:spacing w:before="0" w:line="240" w:lineRule="auto"/>
        <w:rPr>
          <w:b w:val="0"/>
        </w:rPr>
      </w:pPr>
      <w:r w:rsidRPr="00953281">
        <w:rPr>
          <w:b w:val="0"/>
        </w:rPr>
        <w:t>Prepared for:</w:t>
      </w:r>
    </w:p>
    <w:p w14:paraId="2E4DAF53" w14:textId="77777777" w:rsidR="000E77B4" w:rsidRPr="00953281" w:rsidRDefault="000E77B4" w:rsidP="000E77B4">
      <w:pPr>
        <w:pBdr>
          <w:top w:val="single" w:sz="12" w:space="1" w:color="auto"/>
          <w:left w:val="single" w:sz="12" w:space="4" w:color="auto"/>
          <w:bottom w:val="single" w:sz="12" w:space="1" w:color="auto"/>
          <w:right w:val="single" w:sz="12" w:space="4" w:color="auto"/>
        </w:pBdr>
        <w:spacing w:after="0" w:line="240" w:lineRule="auto"/>
      </w:pPr>
    </w:p>
    <w:p w14:paraId="754BDF03" w14:textId="77777777" w:rsidR="00D91630" w:rsidRPr="00D91630" w:rsidRDefault="00D91630" w:rsidP="000E77B4">
      <w:pPr>
        <w:pBdr>
          <w:top w:val="single" w:sz="12" w:space="1" w:color="auto"/>
          <w:left w:val="single" w:sz="12" w:space="4" w:color="auto"/>
          <w:bottom w:val="single" w:sz="12" w:space="1" w:color="auto"/>
          <w:right w:val="single" w:sz="12" w:space="4" w:color="auto"/>
        </w:pBdr>
        <w:spacing w:line="240" w:lineRule="auto"/>
        <w:jc w:val="center"/>
        <w:rPr>
          <w:rFonts w:cs="Times New Roman"/>
          <w:sz w:val="28"/>
          <w:szCs w:val="28"/>
        </w:rPr>
      </w:pPr>
      <w:r w:rsidRPr="00D91630">
        <w:rPr>
          <w:rFonts w:cs="Times New Roman"/>
          <w:sz w:val="28"/>
          <w:szCs w:val="28"/>
        </w:rPr>
        <w:t xml:space="preserve">Distilled Spirits Council of the United States </w:t>
      </w:r>
    </w:p>
    <w:p w14:paraId="7AB76A73" w14:textId="77777777" w:rsidR="000E77B4" w:rsidRPr="00D91630" w:rsidRDefault="000E77B4" w:rsidP="000E77B4">
      <w:pPr>
        <w:pBdr>
          <w:top w:val="single" w:sz="12" w:space="1" w:color="auto"/>
          <w:left w:val="single" w:sz="12" w:space="4" w:color="auto"/>
          <w:bottom w:val="single" w:sz="12" w:space="1" w:color="auto"/>
          <w:right w:val="single" w:sz="12" w:space="4" w:color="auto"/>
        </w:pBdr>
        <w:spacing w:line="240" w:lineRule="auto"/>
        <w:jc w:val="center"/>
        <w:rPr>
          <w:rFonts w:ascii="Cambria" w:hAnsi="Cambria"/>
          <w:sz w:val="28"/>
          <w:szCs w:val="28"/>
        </w:rPr>
      </w:pPr>
      <w:r w:rsidRPr="00D91630">
        <w:rPr>
          <w:rFonts w:ascii="Cambria" w:hAnsi="Cambria"/>
          <w:sz w:val="28"/>
          <w:szCs w:val="28"/>
        </w:rPr>
        <w:t>DISCUS</w:t>
      </w:r>
    </w:p>
    <w:p w14:paraId="697BC16D" w14:textId="77777777" w:rsidR="000E77B4" w:rsidRDefault="000E77B4" w:rsidP="000E77B4">
      <w:pPr>
        <w:pBdr>
          <w:top w:val="single" w:sz="12" w:space="1" w:color="auto"/>
          <w:left w:val="single" w:sz="12" w:space="4" w:color="auto"/>
          <w:bottom w:val="single" w:sz="12" w:space="1" w:color="auto"/>
          <w:right w:val="single" w:sz="12" w:space="4" w:color="auto"/>
        </w:pBdr>
        <w:jc w:val="center"/>
        <w:rPr>
          <w:rFonts w:ascii="Cambria" w:hAnsi="Cambria"/>
          <w:sz w:val="36"/>
          <w:szCs w:val="36"/>
        </w:rPr>
      </w:pPr>
    </w:p>
    <w:p w14:paraId="4BB851FB" w14:textId="5F4F6ECF" w:rsidR="000E77B4" w:rsidRDefault="00723EF5" w:rsidP="000E77B4">
      <w:pPr>
        <w:pBdr>
          <w:top w:val="single" w:sz="12" w:space="1" w:color="auto"/>
          <w:left w:val="single" w:sz="12" w:space="4" w:color="auto"/>
          <w:bottom w:val="single" w:sz="12" w:space="1" w:color="auto"/>
          <w:right w:val="single" w:sz="12" w:space="4" w:color="auto"/>
        </w:pBdr>
        <w:jc w:val="center"/>
      </w:pPr>
      <w:r>
        <w:t>June</w:t>
      </w:r>
      <w:r w:rsidR="000F0648">
        <w:t xml:space="preserve"> </w:t>
      </w:r>
      <w:r w:rsidR="00A05C7E">
        <w:t>2022</w:t>
      </w:r>
    </w:p>
    <w:p w14:paraId="71E1DCB8" w14:textId="5D4FD623" w:rsidR="000E77B4" w:rsidRDefault="000E77B4" w:rsidP="000E77B4">
      <w:pPr>
        <w:pBdr>
          <w:top w:val="single" w:sz="12" w:space="1" w:color="auto"/>
          <w:left w:val="single" w:sz="12" w:space="4" w:color="auto"/>
          <w:bottom w:val="single" w:sz="12" w:space="1" w:color="auto"/>
          <w:right w:val="single" w:sz="12" w:space="4" w:color="auto"/>
        </w:pBdr>
        <w:jc w:val="center"/>
      </w:pPr>
    </w:p>
    <w:p w14:paraId="5AD6D906" w14:textId="77777777" w:rsidR="00636F06" w:rsidRPr="00E179AD" w:rsidRDefault="00636F06" w:rsidP="000E77B4">
      <w:pPr>
        <w:pBdr>
          <w:top w:val="single" w:sz="12" w:space="1" w:color="auto"/>
          <w:left w:val="single" w:sz="12" w:space="4" w:color="auto"/>
          <w:bottom w:val="single" w:sz="12" w:space="1" w:color="auto"/>
          <w:right w:val="single" w:sz="12" w:space="4" w:color="auto"/>
        </w:pBdr>
        <w:jc w:val="center"/>
        <w:rPr>
          <w:b/>
        </w:rPr>
      </w:pPr>
    </w:p>
    <w:p w14:paraId="00DD68DF" w14:textId="4DF5EFC9"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bookmarkStart w:id="1" w:name="_GoBack"/>
    </w:p>
    <w:bookmarkEnd w:id="1"/>
    <w:p w14:paraId="490CE763" w14:textId="1C118999"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r w:rsidRPr="00E179AD">
        <w:rPr>
          <w:b/>
        </w:rPr>
        <w:t> </w:t>
      </w:r>
    </w:p>
    <w:p w14:paraId="0F159989" w14:textId="44403063"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4AAFD02C" w14:textId="6D8D2652" w:rsidR="000E77B4" w:rsidRPr="00E179AD" w:rsidRDefault="00A728E7" w:rsidP="000E77B4">
      <w:pPr>
        <w:pBdr>
          <w:top w:val="single" w:sz="12" w:space="1" w:color="auto"/>
          <w:left w:val="single" w:sz="12" w:space="4" w:color="auto"/>
          <w:bottom w:val="single" w:sz="12" w:space="1" w:color="auto"/>
          <w:right w:val="single" w:sz="12" w:space="4" w:color="auto"/>
        </w:pBdr>
        <w:jc w:val="center"/>
        <w:rPr>
          <w:b/>
        </w:rPr>
      </w:pPr>
      <w:r w:rsidRPr="00A728E7">
        <w:rPr>
          <w:b/>
        </w:rPr>
        <w:drawing>
          <wp:inline distT="0" distB="0" distL="0" distR="0" wp14:anchorId="5B040841" wp14:editId="3806C2DF">
            <wp:extent cx="5196127" cy="467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er for Community &amp; Business Research_ParentChild_2color_CHILD_Casual_Single_Signature_Left.eps"/>
                    <pic:cNvPicPr/>
                  </pic:nvPicPr>
                  <pic:blipFill>
                    <a:blip r:embed="rId9">
                      <a:extLst>
                        <a:ext uri="{28A0092B-C50C-407E-A947-70E740481C1C}">
                          <a14:useLocalDpi xmlns:a14="http://schemas.microsoft.com/office/drawing/2010/main" val="0"/>
                        </a:ext>
                      </a:extLst>
                    </a:blip>
                    <a:stretch>
                      <a:fillRect/>
                    </a:stretch>
                  </pic:blipFill>
                  <pic:spPr>
                    <a:xfrm>
                      <a:off x="0" y="0"/>
                      <a:ext cx="5202557" cy="468563"/>
                    </a:xfrm>
                    <a:prstGeom prst="rect">
                      <a:avLst/>
                    </a:prstGeom>
                  </pic:spPr>
                </pic:pic>
              </a:graphicData>
            </a:graphic>
          </wp:inline>
        </w:drawing>
      </w:r>
    </w:p>
    <w:p w14:paraId="55D1F2B0"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72582772"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3AEE34A1"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5F65D3D6"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607CA04B"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281E3823" w14:textId="77777777" w:rsidR="000E77B4" w:rsidRPr="00E179AD" w:rsidRDefault="000E77B4" w:rsidP="000E77B4">
      <w:pPr>
        <w:pBdr>
          <w:top w:val="single" w:sz="12" w:space="1" w:color="auto"/>
          <w:left w:val="single" w:sz="12" w:space="4" w:color="auto"/>
          <w:bottom w:val="single" w:sz="12" w:space="1" w:color="auto"/>
          <w:right w:val="single" w:sz="12" w:space="4" w:color="auto"/>
        </w:pBdr>
        <w:jc w:val="center"/>
        <w:rPr>
          <w:b/>
        </w:rPr>
      </w:pPr>
    </w:p>
    <w:p w14:paraId="2A5C56DB" w14:textId="77777777" w:rsidR="000E77B4" w:rsidRDefault="000E77B4" w:rsidP="000E77B4">
      <w:pPr>
        <w:jc w:val="center"/>
        <w:rPr>
          <w:b/>
        </w:rPr>
        <w:sectPr w:rsidR="000E77B4" w:rsidSect="00FE5D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337CD59E" w14:textId="77777777" w:rsidR="000E77B4" w:rsidRPr="00E179AD" w:rsidRDefault="000E77B4" w:rsidP="000E77B4">
      <w:pPr>
        <w:jc w:val="center"/>
        <w:rPr>
          <w:b/>
        </w:rPr>
      </w:pPr>
    </w:p>
    <w:p w14:paraId="571BE1DE" w14:textId="77777777" w:rsidR="000E77B4" w:rsidRDefault="000E77B4" w:rsidP="000E77B4">
      <w:pPr>
        <w:jc w:val="center"/>
        <w:rPr>
          <w:b/>
        </w:rPr>
      </w:pPr>
    </w:p>
    <w:p w14:paraId="63B4E8D3" w14:textId="77777777" w:rsidR="000E77B4" w:rsidRPr="00E179AD" w:rsidRDefault="000E77B4" w:rsidP="000E77B4">
      <w:pPr>
        <w:jc w:val="center"/>
        <w:rPr>
          <w:b/>
        </w:rPr>
      </w:pPr>
    </w:p>
    <w:p w14:paraId="2E54C510" w14:textId="77777777" w:rsidR="000E77B4" w:rsidRPr="00E179AD" w:rsidRDefault="000E77B4" w:rsidP="000E77B4">
      <w:pPr>
        <w:jc w:val="center"/>
        <w:rPr>
          <w:b/>
        </w:rPr>
      </w:pPr>
    </w:p>
    <w:p w14:paraId="0518CB8F" w14:textId="77777777" w:rsidR="000E77B4" w:rsidRPr="00DB4403" w:rsidRDefault="000E77B4" w:rsidP="000E77B4">
      <w:pPr>
        <w:jc w:val="center"/>
        <w:rPr>
          <w:b/>
          <w:sz w:val="20"/>
          <w:szCs w:val="20"/>
        </w:rPr>
      </w:pPr>
    </w:p>
    <w:p w14:paraId="2345F123" w14:textId="77777777" w:rsidR="000E77B4" w:rsidRPr="00DB4403" w:rsidRDefault="000E77B4" w:rsidP="000E77B4">
      <w:pPr>
        <w:jc w:val="center"/>
        <w:rPr>
          <w:b/>
          <w:sz w:val="20"/>
          <w:szCs w:val="20"/>
        </w:rPr>
      </w:pPr>
      <w:r w:rsidRPr="00DB4403">
        <w:rPr>
          <w:b/>
          <w:sz w:val="20"/>
          <w:szCs w:val="20"/>
        </w:rPr>
        <w:t>Acknowledgments</w:t>
      </w:r>
    </w:p>
    <w:p w14:paraId="4D408A6E" w14:textId="70BC3CA6" w:rsidR="000E77B4" w:rsidRDefault="000E77B4" w:rsidP="000E77B4">
      <w:pPr>
        <w:jc w:val="both"/>
        <w:rPr>
          <w:rFonts w:cs="Times New Roman"/>
          <w:sz w:val="20"/>
          <w:szCs w:val="20"/>
        </w:rPr>
      </w:pPr>
      <w:r w:rsidRPr="00DB4403">
        <w:rPr>
          <w:sz w:val="20"/>
          <w:szCs w:val="20"/>
        </w:rPr>
        <w:t xml:space="preserve">This report was performed by the University of Texas at San Antonio’s Institute for Economic Development’s Center for Community of Business Research (CCBR). Any findings, </w:t>
      </w:r>
      <w:r w:rsidRPr="00D91630">
        <w:rPr>
          <w:sz w:val="20"/>
          <w:szCs w:val="20"/>
        </w:rPr>
        <w:t xml:space="preserve">conclusions, or opinions are those of the authors and not necessarily those reflected by The University of Texas at San Antonio. </w:t>
      </w:r>
      <w:r w:rsidRPr="00D91630">
        <w:rPr>
          <w:rFonts w:cs="Times New Roman"/>
          <w:sz w:val="20"/>
          <w:szCs w:val="20"/>
        </w:rPr>
        <w:t>The CCBR thanks</w:t>
      </w:r>
      <w:r w:rsidR="00031122">
        <w:rPr>
          <w:rFonts w:cs="Times New Roman"/>
          <w:sz w:val="20"/>
          <w:szCs w:val="20"/>
        </w:rPr>
        <w:t xml:space="preserve"> Hasan Bakir, Director of Economic Studies at the Distilled Spirits Council of the United States (DISCUS)</w:t>
      </w:r>
      <w:r w:rsidR="006F3594">
        <w:rPr>
          <w:rFonts w:cs="Times New Roman"/>
          <w:sz w:val="20"/>
          <w:szCs w:val="20"/>
        </w:rPr>
        <w:t xml:space="preserve">, and </w:t>
      </w:r>
      <w:r w:rsidR="0009461A" w:rsidRPr="00D91630">
        <w:rPr>
          <w:rFonts w:cs="Times New Roman"/>
          <w:sz w:val="20"/>
          <w:szCs w:val="20"/>
        </w:rPr>
        <w:t>David Ozgo</w:t>
      </w:r>
      <w:r w:rsidR="00D91630" w:rsidRPr="00D91630">
        <w:rPr>
          <w:rFonts w:cs="Times New Roman"/>
          <w:sz w:val="20"/>
          <w:szCs w:val="20"/>
        </w:rPr>
        <w:t xml:space="preserve">, Senior Vice-president, Economic and Strategic Analysis for </w:t>
      </w:r>
      <w:r w:rsidR="00D91630">
        <w:rPr>
          <w:rFonts w:cs="Times New Roman"/>
          <w:sz w:val="20"/>
          <w:szCs w:val="20"/>
        </w:rPr>
        <w:t xml:space="preserve">DISCUS </w:t>
      </w:r>
      <w:r w:rsidR="0009461A">
        <w:rPr>
          <w:rFonts w:cs="Times New Roman"/>
          <w:sz w:val="20"/>
          <w:szCs w:val="20"/>
        </w:rPr>
        <w:t xml:space="preserve"> for </w:t>
      </w:r>
      <w:r w:rsidR="00031122">
        <w:rPr>
          <w:rFonts w:cs="Times New Roman"/>
          <w:sz w:val="20"/>
          <w:szCs w:val="20"/>
        </w:rPr>
        <w:t>their</w:t>
      </w:r>
      <w:r w:rsidR="0009461A">
        <w:rPr>
          <w:rFonts w:cs="Times New Roman"/>
          <w:sz w:val="20"/>
          <w:szCs w:val="20"/>
        </w:rPr>
        <w:t xml:space="preserve"> </w:t>
      </w:r>
      <w:r w:rsidR="00D91630">
        <w:rPr>
          <w:rFonts w:cs="Times New Roman"/>
          <w:sz w:val="20"/>
          <w:szCs w:val="20"/>
        </w:rPr>
        <w:t>support</w:t>
      </w:r>
      <w:r w:rsidR="0009461A">
        <w:rPr>
          <w:rFonts w:cs="Times New Roman"/>
          <w:sz w:val="20"/>
          <w:szCs w:val="20"/>
        </w:rPr>
        <w:t xml:space="preserve"> in this project.</w:t>
      </w:r>
    </w:p>
    <w:p w14:paraId="400B7913" w14:textId="77777777" w:rsidR="000E77B4" w:rsidRDefault="000E77B4" w:rsidP="000E77B4">
      <w:pPr>
        <w:jc w:val="both"/>
        <w:rPr>
          <w:sz w:val="20"/>
          <w:szCs w:val="20"/>
        </w:rPr>
      </w:pPr>
    </w:p>
    <w:p w14:paraId="1330A2F3" w14:textId="77777777" w:rsidR="000E77B4" w:rsidRPr="00DB4403" w:rsidRDefault="000E77B4" w:rsidP="000E77B4">
      <w:pPr>
        <w:rPr>
          <w:b/>
          <w:sz w:val="20"/>
          <w:szCs w:val="20"/>
        </w:rPr>
      </w:pPr>
    </w:p>
    <w:p w14:paraId="4BE7FDF9" w14:textId="77777777" w:rsidR="000E77B4" w:rsidRPr="00DB4403" w:rsidRDefault="000E77B4" w:rsidP="000E77B4">
      <w:pPr>
        <w:spacing w:after="0"/>
        <w:rPr>
          <w:b/>
          <w:sz w:val="20"/>
          <w:szCs w:val="20"/>
        </w:rPr>
      </w:pPr>
    </w:p>
    <w:p w14:paraId="1E070E0E" w14:textId="77777777" w:rsidR="000E77B4" w:rsidRPr="00DB4403" w:rsidRDefault="000E77B4" w:rsidP="000E77B4">
      <w:pPr>
        <w:spacing w:after="0"/>
        <w:jc w:val="center"/>
        <w:rPr>
          <w:sz w:val="20"/>
          <w:szCs w:val="20"/>
        </w:rPr>
      </w:pPr>
      <w:r w:rsidRPr="00DB4403">
        <w:rPr>
          <w:sz w:val="20"/>
          <w:szCs w:val="20"/>
        </w:rPr>
        <w:t xml:space="preserve">     Lead Investigator</w:t>
      </w:r>
      <w:r w:rsidRPr="00DB4403">
        <w:rPr>
          <w:sz w:val="20"/>
          <w:szCs w:val="20"/>
        </w:rPr>
        <w:tab/>
      </w:r>
      <w:r w:rsidRPr="00DB4403">
        <w:rPr>
          <w:sz w:val="20"/>
          <w:szCs w:val="20"/>
        </w:rPr>
        <w:tab/>
      </w:r>
      <w:r w:rsidRPr="00DB4403">
        <w:rPr>
          <w:sz w:val="20"/>
          <w:szCs w:val="20"/>
        </w:rPr>
        <w:tab/>
      </w:r>
      <w:r w:rsidRPr="00DB4403">
        <w:rPr>
          <w:sz w:val="20"/>
          <w:szCs w:val="20"/>
        </w:rPr>
        <w:tab/>
        <w:t xml:space="preserve">   Principal Investigator</w:t>
      </w:r>
    </w:p>
    <w:p w14:paraId="0FB2E556" w14:textId="77777777" w:rsidR="000E77B4" w:rsidRPr="00DB4403" w:rsidRDefault="000E77B4" w:rsidP="000E77B4">
      <w:pPr>
        <w:spacing w:after="0"/>
        <w:ind w:firstLine="720"/>
        <w:rPr>
          <w:sz w:val="20"/>
          <w:szCs w:val="20"/>
        </w:rPr>
      </w:pPr>
      <w:r w:rsidRPr="00DB4403">
        <w:rPr>
          <w:sz w:val="20"/>
          <w:szCs w:val="20"/>
        </w:rPr>
        <w:t xml:space="preserve">         </w:t>
      </w:r>
      <w:r>
        <w:rPr>
          <w:sz w:val="20"/>
          <w:szCs w:val="20"/>
        </w:rPr>
        <w:t xml:space="preserve">    </w:t>
      </w:r>
      <w:r w:rsidRPr="00DB4403">
        <w:rPr>
          <w:sz w:val="20"/>
          <w:szCs w:val="20"/>
        </w:rPr>
        <w:t xml:space="preserve"> </w:t>
      </w:r>
      <w:r>
        <w:rPr>
          <w:sz w:val="20"/>
          <w:szCs w:val="20"/>
        </w:rPr>
        <w:t xml:space="preserve"> </w:t>
      </w:r>
      <w:r w:rsidRPr="00DB4403">
        <w:rPr>
          <w:sz w:val="20"/>
          <w:szCs w:val="20"/>
        </w:rPr>
        <w:t xml:space="preserve"> </w:t>
      </w:r>
      <w:r w:rsidRPr="00731266">
        <w:rPr>
          <w:sz w:val="20"/>
          <w:szCs w:val="20"/>
          <w:lang w:val="es-ES"/>
        </w:rPr>
        <w:t xml:space="preserve">Javier Oyakawa, M.A., M.Sc.  </w:t>
      </w:r>
      <w:r w:rsidRPr="00731266">
        <w:rPr>
          <w:sz w:val="20"/>
          <w:szCs w:val="20"/>
          <w:lang w:val="es-ES"/>
        </w:rPr>
        <w:tab/>
      </w:r>
      <w:r w:rsidRPr="00731266">
        <w:rPr>
          <w:sz w:val="20"/>
          <w:szCs w:val="20"/>
          <w:lang w:val="es-ES"/>
        </w:rPr>
        <w:tab/>
      </w:r>
      <w:r w:rsidRPr="00731266">
        <w:rPr>
          <w:sz w:val="20"/>
          <w:szCs w:val="20"/>
          <w:lang w:val="es-ES"/>
        </w:rPr>
        <w:tab/>
        <w:t xml:space="preserve">     </w:t>
      </w:r>
      <w:r w:rsidRPr="00DB4403">
        <w:rPr>
          <w:sz w:val="20"/>
          <w:szCs w:val="20"/>
        </w:rPr>
        <w:t>Thomas Tunstall, Ph.D.</w:t>
      </w:r>
    </w:p>
    <w:p w14:paraId="5D14DB33" w14:textId="77777777" w:rsidR="000E77B4" w:rsidRPr="00DB4403" w:rsidRDefault="000E77B4" w:rsidP="000E77B4">
      <w:pPr>
        <w:rPr>
          <w:b/>
          <w:sz w:val="20"/>
          <w:szCs w:val="20"/>
        </w:rPr>
      </w:pPr>
    </w:p>
    <w:p w14:paraId="042A0DE5" w14:textId="77777777" w:rsidR="000E77B4" w:rsidRPr="00DB4403" w:rsidRDefault="000E77B4" w:rsidP="000E77B4">
      <w:pPr>
        <w:ind w:left="2160" w:firstLine="720"/>
        <w:rPr>
          <w:b/>
          <w:sz w:val="20"/>
          <w:szCs w:val="20"/>
        </w:rPr>
      </w:pPr>
      <w:r>
        <w:rPr>
          <w:sz w:val="20"/>
          <w:szCs w:val="20"/>
        </w:rPr>
        <w:t xml:space="preserve">                  </w:t>
      </w:r>
    </w:p>
    <w:p w14:paraId="5C63BFEA" w14:textId="77777777" w:rsidR="000E77B4" w:rsidRDefault="000E77B4" w:rsidP="000E77B4">
      <w:pPr>
        <w:jc w:val="center"/>
        <w:rPr>
          <w:b/>
        </w:rPr>
      </w:pPr>
    </w:p>
    <w:p w14:paraId="79C656E9" w14:textId="77777777" w:rsidR="000E77B4" w:rsidRDefault="000E77B4" w:rsidP="000E77B4">
      <w:pPr>
        <w:jc w:val="center"/>
        <w:rPr>
          <w:b/>
        </w:rPr>
      </w:pPr>
    </w:p>
    <w:p w14:paraId="49011FDB" w14:textId="77777777" w:rsidR="000E77B4" w:rsidRDefault="000E77B4" w:rsidP="000E77B4">
      <w:pPr>
        <w:jc w:val="center"/>
        <w:rPr>
          <w:b/>
        </w:rPr>
      </w:pPr>
    </w:p>
    <w:p w14:paraId="4B2FEE19" w14:textId="77777777" w:rsidR="000E77B4" w:rsidRDefault="000E77B4" w:rsidP="000E77B4">
      <w:pPr>
        <w:jc w:val="center"/>
        <w:rPr>
          <w:b/>
        </w:rPr>
      </w:pPr>
      <w:r w:rsidRPr="00E179AD">
        <w:rPr>
          <w:b/>
        </w:rPr>
        <w:t> </w:t>
      </w:r>
    </w:p>
    <w:p w14:paraId="08CE113F" w14:textId="77777777" w:rsidR="000E77B4" w:rsidRDefault="000E77B4" w:rsidP="000E77B4">
      <w:pPr>
        <w:jc w:val="center"/>
        <w:rPr>
          <w:b/>
        </w:rPr>
      </w:pPr>
    </w:p>
    <w:p w14:paraId="64786165" w14:textId="77777777" w:rsidR="000E77B4" w:rsidRDefault="000E77B4" w:rsidP="000E77B4">
      <w:pPr>
        <w:jc w:val="center"/>
        <w:rPr>
          <w:b/>
        </w:rPr>
      </w:pPr>
    </w:p>
    <w:p w14:paraId="793D52C7" w14:textId="77777777" w:rsidR="000E77B4" w:rsidRDefault="000E77B4" w:rsidP="000E77B4">
      <w:pPr>
        <w:jc w:val="center"/>
        <w:rPr>
          <w:b/>
        </w:rPr>
      </w:pPr>
    </w:p>
    <w:p w14:paraId="409D9C7F" w14:textId="77777777" w:rsidR="000E77B4" w:rsidRDefault="000E77B4" w:rsidP="000E77B4">
      <w:pPr>
        <w:jc w:val="center"/>
        <w:rPr>
          <w:b/>
        </w:rPr>
      </w:pPr>
    </w:p>
    <w:p w14:paraId="798985E1" w14:textId="77777777" w:rsidR="000E77B4" w:rsidRDefault="000E77B4" w:rsidP="000E77B4">
      <w:pPr>
        <w:jc w:val="center"/>
        <w:rPr>
          <w:b/>
        </w:rPr>
      </w:pPr>
    </w:p>
    <w:p w14:paraId="2BE20F76" w14:textId="77777777" w:rsidR="000E77B4" w:rsidRPr="001F6519" w:rsidRDefault="000E77B4" w:rsidP="000E77B4">
      <w:pPr>
        <w:pStyle w:val="TOC1"/>
        <w:tabs>
          <w:tab w:val="right" w:leader="dot" w:pos="9350"/>
        </w:tabs>
        <w:rPr>
          <w:b/>
          <w:sz w:val="22"/>
        </w:rPr>
      </w:pPr>
    </w:p>
    <w:p w14:paraId="1A77EC20" w14:textId="77777777" w:rsidR="000E77B4" w:rsidRDefault="000E77B4" w:rsidP="000E77B4">
      <w:pPr>
        <w:rPr>
          <w:b/>
        </w:rPr>
        <w:sectPr w:rsidR="000E77B4" w:rsidSect="00FE5D72">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pPr>
    </w:p>
    <w:p w14:paraId="05AA3B54" w14:textId="77777777" w:rsidR="000E77B4" w:rsidRDefault="000E77B4" w:rsidP="00FF0E0F">
      <w:pPr>
        <w:pStyle w:val="Heading1"/>
        <w:jc w:val="center"/>
      </w:pPr>
      <w:bookmarkStart w:id="2" w:name="_Toc34397445"/>
      <w:r w:rsidRPr="007F3C14">
        <w:lastRenderedPageBreak/>
        <w:t>EXECUTIVE SUMMARY</w:t>
      </w:r>
      <w:bookmarkEnd w:id="2"/>
    </w:p>
    <w:p w14:paraId="6EB2C5BA" w14:textId="5046B085" w:rsidR="000E77B4" w:rsidRPr="009C37E4" w:rsidRDefault="003A1446" w:rsidP="000E77B4">
      <w:pPr>
        <w:jc w:val="both"/>
        <w:rPr>
          <w:szCs w:val="24"/>
          <w:highlight w:val="green"/>
        </w:rPr>
      </w:pPr>
      <w:r>
        <w:rPr>
          <w:szCs w:val="24"/>
        </w:rPr>
        <w:t xml:space="preserve">Despite the unprecedented events produced by </w:t>
      </w:r>
      <w:r w:rsidR="00C22FDB">
        <w:rPr>
          <w:szCs w:val="24"/>
        </w:rPr>
        <w:t>Covid-19</w:t>
      </w:r>
      <w:r>
        <w:rPr>
          <w:szCs w:val="24"/>
        </w:rPr>
        <w:t>, in the year</w:t>
      </w:r>
      <w:r w:rsidRPr="00811445">
        <w:rPr>
          <w:szCs w:val="24"/>
        </w:rPr>
        <w:t xml:space="preserve"> 20</w:t>
      </w:r>
      <w:r>
        <w:rPr>
          <w:szCs w:val="24"/>
        </w:rPr>
        <w:t>20</w:t>
      </w:r>
      <w:r w:rsidRPr="00811445">
        <w:rPr>
          <w:szCs w:val="24"/>
        </w:rPr>
        <w:t>,</w:t>
      </w:r>
      <w:r>
        <w:rPr>
          <w:szCs w:val="24"/>
        </w:rPr>
        <w:t xml:space="preserve"> in</w:t>
      </w:r>
      <w:r w:rsidR="00811445" w:rsidRPr="00811445">
        <w:rPr>
          <w:szCs w:val="24"/>
        </w:rPr>
        <w:t xml:space="preserve"> Texas, distilleries continued generating benefits for </w:t>
      </w:r>
      <w:r>
        <w:rPr>
          <w:szCs w:val="24"/>
        </w:rPr>
        <w:t>nearby</w:t>
      </w:r>
      <w:r w:rsidR="00811445" w:rsidRPr="00811445">
        <w:rPr>
          <w:szCs w:val="24"/>
        </w:rPr>
        <w:t xml:space="preserve"> communities and the state.</w:t>
      </w:r>
      <w:r w:rsidR="000E6609">
        <w:rPr>
          <w:szCs w:val="24"/>
        </w:rPr>
        <w:t xml:space="preserve"> </w:t>
      </w:r>
      <w:r>
        <w:rPr>
          <w:szCs w:val="24"/>
        </w:rPr>
        <w:t>T</w:t>
      </w:r>
      <w:r w:rsidR="000E6609">
        <w:rPr>
          <w:szCs w:val="24"/>
        </w:rPr>
        <w:t xml:space="preserve">hat year there </w:t>
      </w:r>
      <w:r w:rsidR="000E6609" w:rsidRPr="000A131B">
        <w:rPr>
          <w:szCs w:val="24"/>
        </w:rPr>
        <w:t>were 1</w:t>
      </w:r>
      <w:r w:rsidR="000A131B" w:rsidRPr="000A131B">
        <w:rPr>
          <w:szCs w:val="24"/>
        </w:rPr>
        <w:t>90</w:t>
      </w:r>
      <w:r w:rsidR="000E6609" w:rsidRPr="000A131B">
        <w:rPr>
          <w:szCs w:val="24"/>
        </w:rPr>
        <w:t xml:space="preserve"> distillers</w:t>
      </w:r>
      <w:r w:rsidR="000E6609">
        <w:rPr>
          <w:szCs w:val="24"/>
        </w:rPr>
        <w:t xml:space="preserve"> licensed</w:t>
      </w:r>
      <w:r>
        <w:rPr>
          <w:szCs w:val="24"/>
        </w:rPr>
        <w:t xml:space="preserve"> and</w:t>
      </w:r>
      <w:r w:rsidR="000E6609">
        <w:rPr>
          <w:szCs w:val="24"/>
        </w:rPr>
        <w:t xml:space="preserve"> </w:t>
      </w:r>
      <w:r w:rsidR="00811445" w:rsidRPr="00811445">
        <w:rPr>
          <w:szCs w:val="24"/>
        </w:rPr>
        <w:t>considering the</w:t>
      </w:r>
      <w:r>
        <w:rPr>
          <w:szCs w:val="24"/>
        </w:rPr>
        <w:t>ir</w:t>
      </w:r>
      <w:r w:rsidR="00811445" w:rsidRPr="00811445">
        <w:rPr>
          <w:szCs w:val="24"/>
        </w:rPr>
        <w:t xml:space="preserve"> direct, indirect, and induced effects, Texas distillers contributed</w:t>
      </w:r>
      <w:r>
        <w:rPr>
          <w:szCs w:val="24"/>
        </w:rPr>
        <w:t xml:space="preserve"> with</w:t>
      </w:r>
      <w:r w:rsidR="000E77B4" w:rsidRPr="00811445">
        <w:rPr>
          <w:szCs w:val="24"/>
        </w:rPr>
        <w:t>:</w:t>
      </w:r>
    </w:p>
    <w:p w14:paraId="5B5863F5" w14:textId="0890E51A" w:rsidR="000E77B4" w:rsidRPr="005249B9" w:rsidRDefault="00B051DC" w:rsidP="00373DC6">
      <w:pPr>
        <w:pStyle w:val="ListParagraph"/>
        <w:numPr>
          <w:ilvl w:val="0"/>
          <w:numId w:val="6"/>
        </w:numPr>
        <w:spacing w:after="0" w:line="360" w:lineRule="auto"/>
        <w:jc w:val="both"/>
      </w:pPr>
      <w:r>
        <w:t>Nearly</w:t>
      </w:r>
      <w:r w:rsidR="000E77B4" w:rsidRPr="005249B9">
        <w:t xml:space="preserve"> </w:t>
      </w:r>
      <w:r w:rsidR="000E77B4" w:rsidRPr="005249B9">
        <w:rPr>
          <w:b/>
        </w:rPr>
        <w:t>$</w:t>
      </w:r>
      <w:r w:rsidR="00631321">
        <w:rPr>
          <w:b/>
        </w:rPr>
        <w:t>2.</w:t>
      </w:r>
      <w:r w:rsidR="00422A86">
        <w:rPr>
          <w:b/>
        </w:rPr>
        <w:t>0</w:t>
      </w:r>
      <w:r w:rsidR="000E77B4" w:rsidRPr="005249B9">
        <w:rPr>
          <w:b/>
        </w:rPr>
        <w:t xml:space="preserve"> billion</w:t>
      </w:r>
      <w:r w:rsidR="000E77B4" w:rsidRPr="005249B9">
        <w:t xml:space="preserve"> in total economic output (or revenues).</w:t>
      </w:r>
    </w:p>
    <w:p w14:paraId="68FFA3B7" w14:textId="3AF07DFA" w:rsidR="000E77B4" w:rsidRPr="006D5569" w:rsidRDefault="00B051DC" w:rsidP="00373DC6">
      <w:pPr>
        <w:pStyle w:val="ListParagraph"/>
        <w:numPr>
          <w:ilvl w:val="0"/>
          <w:numId w:val="6"/>
        </w:numPr>
        <w:spacing w:after="0" w:line="360" w:lineRule="auto"/>
        <w:jc w:val="both"/>
      </w:pPr>
      <w:r>
        <w:t>Close to</w:t>
      </w:r>
      <w:r w:rsidR="000E77B4" w:rsidRPr="006D5569">
        <w:rPr>
          <w:b/>
        </w:rPr>
        <w:t xml:space="preserve"> </w:t>
      </w:r>
      <w:r w:rsidR="009C37E4" w:rsidRPr="006D5569">
        <w:rPr>
          <w:b/>
        </w:rPr>
        <w:t>4,</w:t>
      </w:r>
      <w:r w:rsidR="00F725B9">
        <w:rPr>
          <w:b/>
        </w:rPr>
        <w:t>900</w:t>
      </w:r>
      <w:r w:rsidR="000E77B4" w:rsidRPr="006D5569">
        <w:rPr>
          <w:b/>
        </w:rPr>
        <w:t xml:space="preserve"> jobs </w:t>
      </w:r>
      <w:r w:rsidR="00141F58" w:rsidRPr="006D5569">
        <w:rPr>
          <w:b/>
        </w:rPr>
        <w:t xml:space="preserve">were </w:t>
      </w:r>
      <w:r w:rsidR="000E77B4" w:rsidRPr="006D5569">
        <w:rPr>
          <w:b/>
        </w:rPr>
        <w:t>supported</w:t>
      </w:r>
      <w:r w:rsidR="000E77B4" w:rsidRPr="006D5569">
        <w:t>.</w:t>
      </w:r>
    </w:p>
    <w:p w14:paraId="32388B08" w14:textId="143BB699" w:rsidR="000E77B4" w:rsidRPr="00763670" w:rsidRDefault="00B051DC" w:rsidP="00373DC6">
      <w:pPr>
        <w:pStyle w:val="ListParagraph"/>
        <w:numPr>
          <w:ilvl w:val="0"/>
          <w:numId w:val="6"/>
        </w:numPr>
        <w:spacing w:after="0" w:line="360" w:lineRule="auto"/>
        <w:jc w:val="both"/>
      </w:pPr>
      <w:r>
        <w:t>As much as</w:t>
      </w:r>
      <w:r w:rsidR="000E77B4" w:rsidRPr="00763670">
        <w:t xml:space="preserve"> </w:t>
      </w:r>
      <w:r w:rsidR="000E77B4" w:rsidRPr="00763670">
        <w:rPr>
          <w:b/>
        </w:rPr>
        <w:t>$</w:t>
      </w:r>
      <w:r w:rsidR="009C37E4" w:rsidRPr="00763670">
        <w:rPr>
          <w:b/>
        </w:rPr>
        <w:t>3</w:t>
      </w:r>
      <w:r w:rsidR="008C099C" w:rsidRPr="00763670">
        <w:rPr>
          <w:b/>
        </w:rPr>
        <w:t>34.9</w:t>
      </w:r>
      <w:r w:rsidR="000E77B4" w:rsidRPr="00763670">
        <w:rPr>
          <w:b/>
        </w:rPr>
        <w:t xml:space="preserve"> million</w:t>
      </w:r>
      <w:r w:rsidR="000E77B4" w:rsidRPr="00763670">
        <w:t xml:space="preserve"> in salaries and benefits paid to workers.</w:t>
      </w:r>
    </w:p>
    <w:p w14:paraId="3E3A8CCB" w14:textId="180E8029" w:rsidR="000E77B4" w:rsidRPr="00A7277B" w:rsidRDefault="00B051DC" w:rsidP="00373DC6">
      <w:pPr>
        <w:pStyle w:val="ListParagraph"/>
        <w:numPr>
          <w:ilvl w:val="0"/>
          <w:numId w:val="6"/>
        </w:numPr>
        <w:spacing w:after="0" w:line="360" w:lineRule="auto"/>
        <w:jc w:val="both"/>
      </w:pPr>
      <w:r>
        <w:t>Almost</w:t>
      </w:r>
      <w:r w:rsidR="000E77B4" w:rsidRPr="00A7277B">
        <w:t xml:space="preserve"> </w:t>
      </w:r>
      <w:r w:rsidR="000E77B4" w:rsidRPr="00A7277B">
        <w:rPr>
          <w:b/>
        </w:rPr>
        <w:t>$</w:t>
      </w:r>
      <w:r w:rsidR="00A7277B" w:rsidRPr="00A7277B">
        <w:rPr>
          <w:b/>
        </w:rPr>
        <w:t>948.2</w:t>
      </w:r>
      <w:r w:rsidR="000E77B4" w:rsidRPr="00A7277B">
        <w:rPr>
          <w:b/>
        </w:rPr>
        <w:t xml:space="preserve"> million</w:t>
      </w:r>
      <w:r w:rsidR="000E77B4" w:rsidRPr="00A7277B">
        <w:t xml:space="preserve"> of gross state product.</w:t>
      </w:r>
    </w:p>
    <w:p w14:paraId="67382E3F" w14:textId="7E59FB24" w:rsidR="000E77B4" w:rsidRPr="005614BC" w:rsidRDefault="00B051DC" w:rsidP="00373DC6">
      <w:pPr>
        <w:pStyle w:val="ListParagraph"/>
        <w:numPr>
          <w:ilvl w:val="0"/>
          <w:numId w:val="6"/>
        </w:numPr>
        <w:spacing w:after="0" w:line="360" w:lineRule="auto"/>
        <w:jc w:val="both"/>
      </w:pPr>
      <w:r w:rsidRPr="005614BC">
        <w:t>Approximately</w:t>
      </w:r>
      <w:r w:rsidR="000E77B4" w:rsidRPr="005614BC">
        <w:t xml:space="preserve"> </w:t>
      </w:r>
      <w:r w:rsidR="000E77B4" w:rsidRPr="005614BC">
        <w:rPr>
          <w:b/>
        </w:rPr>
        <w:t>$</w:t>
      </w:r>
      <w:r w:rsidR="00175EC0" w:rsidRPr="005614BC">
        <w:rPr>
          <w:b/>
        </w:rPr>
        <w:t>3</w:t>
      </w:r>
      <w:r w:rsidR="00215584" w:rsidRPr="005614BC">
        <w:rPr>
          <w:b/>
        </w:rPr>
        <w:t>83.8</w:t>
      </w:r>
      <w:r w:rsidR="000E77B4" w:rsidRPr="005614BC">
        <w:rPr>
          <w:b/>
        </w:rPr>
        <w:t xml:space="preserve"> million</w:t>
      </w:r>
      <w:r w:rsidR="000E77B4" w:rsidRPr="005614BC">
        <w:t xml:space="preserve"> in federal excise taxes </w:t>
      </w:r>
      <w:r w:rsidR="005249B9" w:rsidRPr="005614BC">
        <w:t xml:space="preserve">were </w:t>
      </w:r>
      <w:r w:rsidR="000E77B4" w:rsidRPr="005614BC">
        <w:t>paid.</w:t>
      </w:r>
    </w:p>
    <w:p w14:paraId="2FE5B9A3" w14:textId="2414F0DC" w:rsidR="006741FD" w:rsidRDefault="000F0D3B" w:rsidP="006741FD">
      <w:pPr>
        <w:pStyle w:val="ListParagraph"/>
        <w:numPr>
          <w:ilvl w:val="0"/>
          <w:numId w:val="6"/>
        </w:numPr>
        <w:spacing w:after="0" w:line="360" w:lineRule="auto"/>
        <w:jc w:val="both"/>
      </w:pPr>
      <w:r>
        <w:t>O</w:t>
      </w:r>
      <w:r w:rsidR="001B1579" w:rsidRPr="005614BC">
        <w:t>ut of the $</w:t>
      </w:r>
      <w:r w:rsidR="003D1D55">
        <w:t>108.9</w:t>
      </w:r>
      <w:r w:rsidR="001B1579" w:rsidRPr="005614BC">
        <w:t xml:space="preserve"> million in spirits gallonage </w:t>
      </w:r>
      <w:r w:rsidR="001B1579" w:rsidRPr="005614BC">
        <w:rPr>
          <w:b/>
        </w:rPr>
        <w:t>excise taxes</w:t>
      </w:r>
      <w:r w:rsidR="001B1579" w:rsidRPr="005614BC">
        <w:t xml:space="preserve"> </w:t>
      </w:r>
      <w:r w:rsidR="001B1579" w:rsidRPr="005614BC">
        <w:rPr>
          <w:b/>
        </w:rPr>
        <w:t>collected by the state</w:t>
      </w:r>
      <w:r w:rsidR="001B1579" w:rsidRPr="005614BC">
        <w:t xml:space="preserve"> in </w:t>
      </w:r>
      <w:r>
        <w:t>FY</w:t>
      </w:r>
      <w:r w:rsidR="001B1579" w:rsidRPr="005614BC">
        <w:t xml:space="preserve">2020, close to </w:t>
      </w:r>
      <w:r w:rsidR="001B1579" w:rsidRPr="005614BC">
        <w:rPr>
          <w:b/>
        </w:rPr>
        <w:t>$</w:t>
      </w:r>
      <w:r w:rsidR="002854C9" w:rsidRPr="005614BC">
        <w:rPr>
          <w:b/>
        </w:rPr>
        <w:t>8.6</w:t>
      </w:r>
      <w:r w:rsidR="001B1579" w:rsidRPr="005614BC">
        <w:rPr>
          <w:b/>
        </w:rPr>
        <w:t xml:space="preserve"> million correspond to locally made spirits</w:t>
      </w:r>
      <w:r w:rsidR="000E77B4" w:rsidRPr="005614BC">
        <w:t>.</w:t>
      </w:r>
    </w:p>
    <w:p w14:paraId="4A9BF497" w14:textId="63BDCD08" w:rsidR="006741FD" w:rsidRPr="006741FD" w:rsidRDefault="006741FD" w:rsidP="006741FD">
      <w:pPr>
        <w:pStyle w:val="ListParagraph"/>
        <w:numPr>
          <w:ilvl w:val="0"/>
          <w:numId w:val="6"/>
        </w:numPr>
        <w:spacing w:after="0" w:line="360" w:lineRule="auto"/>
        <w:jc w:val="both"/>
      </w:pPr>
      <w:r w:rsidRPr="006741FD">
        <w:t xml:space="preserve">Almost </w:t>
      </w:r>
      <w:r w:rsidRPr="006741FD">
        <w:rPr>
          <w:b/>
        </w:rPr>
        <w:t>$9.7 million</w:t>
      </w:r>
      <w:r w:rsidRPr="006741FD">
        <w:t xml:space="preserve"> in payroll taxes were paid. </w:t>
      </w:r>
    </w:p>
    <w:p w14:paraId="188605F3" w14:textId="47D02A3D" w:rsidR="000E77B4" w:rsidRPr="00F52880" w:rsidRDefault="000E77B4" w:rsidP="00373DC6">
      <w:pPr>
        <w:pStyle w:val="ListParagraph"/>
        <w:numPr>
          <w:ilvl w:val="0"/>
          <w:numId w:val="6"/>
        </w:numPr>
        <w:spacing w:after="0" w:line="360" w:lineRule="auto"/>
        <w:jc w:val="both"/>
      </w:pPr>
      <w:r w:rsidRPr="00F52880">
        <w:t xml:space="preserve">Over </w:t>
      </w:r>
      <w:r w:rsidRPr="006741FD">
        <w:rPr>
          <w:b/>
        </w:rPr>
        <w:t>$</w:t>
      </w:r>
      <w:r w:rsidR="007F3704" w:rsidRPr="006741FD">
        <w:rPr>
          <w:b/>
        </w:rPr>
        <w:t>4.1</w:t>
      </w:r>
      <w:r w:rsidRPr="006741FD">
        <w:rPr>
          <w:b/>
        </w:rPr>
        <w:t xml:space="preserve"> million </w:t>
      </w:r>
      <w:r w:rsidRPr="00F52880">
        <w:t xml:space="preserve">in property taxes </w:t>
      </w:r>
      <w:r w:rsidR="00FC7040" w:rsidRPr="00F52880">
        <w:t xml:space="preserve">were </w:t>
      </w:r>
      <w:r w:rsidRPr="00F52880">
        <w:t>paid.</w:t>
      </w:r>
    </w:p>
    <w:p w14:paraId="689F0142" w14:textId="68970C7D" w:rsidR="00F27099" w:rsidRPr="00F52880" w:rsidRDefault="000E77B4" w:rsidP="00373DC6">
      <w:pPr>
        <w:pStyle w:val="ListParagraph"/>
        <w:numPr>
          <w:ilvl w:val="0"/>
          <w:numId w:val="6"/>
        </w:numPr>
        <w:spacing w:line="360" w:lineRule="auto"/>
        <w:jc w:val="both"/>
        <w:rPr>
          <w:szCs w:val="24"/>
        </w:rPr>
      </w:pPr>
      <w:r w:rsidRPr="00F52880">
        <w:t xml:space="preserve">Almost </w:t>
      </w:r>
      <w:r w:rsidRPr="00F52880">
        <w:rPr>
          <w:b/>
        </w:rPr>
        <w:t>$</w:t>
      </w:r>
      <w:r w:rsidR="00F52880" w:rsidRPr="00F52880">
        <w:rPr>
          <w:b/>
        </w:rPr>
        <w:t>607,500</w:t>
      </w:r>
      <w:r w:rsidRPr="00F52880">
        <w:t xml:space="preserve"> </w:t>
      </w:r>
      <w:r w:rsidR="00D131D5" w:rsidRPr="00F52880">
        <w:t>as</w:t>
      </w:r>
      <w:r w:rsidRPr="00F52880">
        <w:t xml:space="preserve"> licenses and fees, and close to </w:t>
      </w:r>
      <w:r w:rsidRPr="00F52880">
        <w:rPr>
          <w:b/>
        </w:rPr>
        <w:t>$</w:t>
      </w:r>
      <w:r w:rsidR="00F52880" w:rsidRPr="00F52880">
        <w:rPr>
          <w:b/>
        </w:rPr>
        <w:t>175</w:t>
      </w:r>
      <w:r w:rsidR="00F27099" w:rsidRPr="00F52880">
        <w:rPr>
          <w:b/>
        </w:rPr>
        <w:t>,</w:t>
      </w:r>
      <w:r w:rsidR="00F52880" w:rsidRPr="00F52880">
        <w:rPr>
          <w:b/>
        </w:rPr>
        <w:t>5</w:t>
      </w:r>
      <w:r w:rsidR="00F27099" w:rsidRPr="00F52880">
        <w:rPr>
          <w:b/>
        </w:rPr>
        <w:t>00</w:t>
      </w:r>
      <w:r w:rsidRPr="00F52880">
        <w:t xml:space="preserve"> </w:t>
      </w:r>
      <w:r w:rsidR="00092C94" w:rsidRPr="00F52880">
        <w:t>as</w:t>
      </w:r>
      <w:r w:rsidRPr="00F52880">
        <w:t xml:space="preserve"> package retail tax paid</w:t>
      </w:r>
      <w:r w:rsidRPr="00F52880">
        <w:rPr>
          <w:szCs w:val="24"/>
        </w:rPr>
        <w:t xml:space="preserve">.  </w:t>
      </w:r>
    </w:p>
    <w:p w14:paraId="370033D8" w14:textId="7E896EDE" w:rsidR="000E77B4" w:rsidRPr="00071BFC" w:rsidRDefault="00201E8B" w:rsidP="00373DC6">
      <w:pPr>
        <w:pStyle w:val="ListParagraph"/>
        <w:numPr>
          <w:ilvl w:val="0"/>
          <w:numId w:val="6"/>
        </w:numPr>
        <w:spacing w:line="360" w:lineRule="auto"/>
        <w:jc w:val="both"/>
        <w:rPr>
          <w:szCs w:val="24"/>
        </w:rPr>
      </w:pPr>
      <w:r w:rsidRPr="00201E8B">
        <w:rPr>
          <w:szCs w:val="24"/>
        </w:rPr>
        <w:t xml:space="preserve">Approximately, </w:t>
      </w:r>
      <w:r w:rsidRPr="000523C8">
        <w:rPr>
          <w:b/>
          <w:szCs w:val="24"/>
        </w:rPr>
        <w:t xml:space="preserve">$481,450 </w:t>
      </w:r>
      <w:r w:rsidRPr="000523C8">
        <w:rPr>
          <w:szCs w:val="24"/>
        </w:rPr>
        <w:t>from on-premise mixed beverage sales taxes</w:t>
      </w:r>
      <w:r w:rsidRPr="00201E8B">
        <w:rPr>
          <w:szCs w:val="24"/>
        </w:rPr>
        <w:t xml:space="preserve"> paid. The tax paid in 2020 </w:t>
      </w:r>
      <w:r w:rsidRPr="000523C8">
        <w:rPr>
          <w:b/>
          <w:szCs w:val="24"/>
        </w:rPr>
        <w:t>declined by more than $240,000</w:t>
      </w:r>
      <w:r w:rsidRPr="00201E8B">
        <w:rPr>
          <w:szCs w:val="24"/>
        </w:rPr>
        <w:t xml:space="preserve">, or </w:t>
      </w:r>
      <w:r>
        <w:rPr>
          <w:szCs w:val="24"/>
        </w:rPr>
        <w:t>34 percent</w:t>
      </w:r>
      <w:r w:rsidRPr="00201E8B">
        <w:rPr>
          <w:szCs w:val="24"/>
        </w:rPr>
        <w:t>, due to COVID-19 related closures.</w:t>
      </w:r>
    </w:p>
    <w:p w14:paraId="7DACC971" w14:textId="48B73DDF" w:rsidR="00201E8B" w:rsidRDefault="00201E8B" w:rsidP="00201E8B">
      <w:pPr>
        <w:pStyle w:val="ListParagraph"/>
        <w:numPr>
          <w:ilvl w:val="0"/>
          <w:numId w:val="6"/>
        </w:numPr>
        <w:spacing w:line="360" w:lineRule="auto"/>
        <w:jc w:val="both"/>
      </w:pPr>
      <w:r w:rsidRPr="00201E8B">
        <w:t xml:space="preserve">Close to </w:t>
      </w:r>
      <w:r w:rsidRPr="000523C8">
        <w:rPr>
          <w:b/>
        </w:rPr>
        <w:t>$391,000</w:t>
      </w:r>
      <w:r w:rsidRPr="00201E8B">
        <w:t xml:space="preserve"> from on-premise mixed beverage gross receipts taxes were paid.  The tax paid in 2020 </w:t>
      </w:r>
      <w:r w:rsidRPr="000523C8">
        <w:rPr>
          <w:b/>
        </w:rPr>
        <w:t>declined around $200,000</w:t>
      </w:r>
      <w:r w:rsidRPr="00201E8B">
        <w:t>, or 34</w:t>
      </w:r>
      <w:r>
        <w:t xml:space="preserve"> percent</w:t>
      </w:r>
      <w:r w:rsidRPr="00201E8B">
        <w:t xml:space="preserve">, due to COVID-19 related closures. </w:t>
      </w:r>
    </w:p>
    <w:p w14:paraId="0F830F75" w14:textId="2B83E31E" w:rsidR="00DE79E5" w:rsidRPr="00201E8B" w:rsidRDefault="00B15B09" w:rsidP="00201E8B">
      <w:pPr>
        <w:pStyle w:val="ListParagraph"/>
        <w:numPr>
          <w:ilvl w:val="0"/>
          <w:numId w:val="6"/>
        </w:numPr>
        <w:spacing w:line="360" w:lineRule="auto"/>
        <w:jc w:val="both"/>
      </w:pPr>
      <w:r w:rsidRPr="005614BC">
        <w:t xml:space="preserve">Out of the </w:t>
      </w:r>
      <w:r w:rsidRPr="000523C8">
        <w:t>$</w:t>
      </w:r>
      <w:r w:rsidR="002854C9" w:rsidRPr="000523C8">
        <w:t>968.6</w:t>
      </w:r>
      <w:r w:rsidRPr="000523C8">
        <w:t xml:space="preserve"> million </w:t>
      </w:r>
      <w:r w:rsidRPr="00201E8B">
        <w:t>mixed beverage taxes</w:t>
      </w:r>
      <w:r w:rsidRPr="005614BC">
        <w:t xml:space="preserve"> collected by the </w:t>
      </w:r>
      <w:r w:rsidR="00CC0C9D">
        <w:t>S</w:t>
      </w:r>
      <w:r w:rsidRPr="005614BC">
        <w:t>tate</w:t>
      </w:r>
      <w:r w:rsidR="00CC0C9D">
        <w:t xml:space="preserve"> and by local governments</w:t>
      </w:r>
      <w:r w:rsidRPr="005614BC">
        <w:t xml:space="preserve"> in </w:t>
      </w:r>
      <w:r w:rsidR="000F0D3B">
        <w:t>FY</w:t>
      </w:r>
      <w:r w:rsidRPr="005614BC">
        <w:t xml:space="preserve">2020, close </w:t>
      </w:r>
      <w:r w:rsidRPr="00201E8B">
        <w:t xml:space="preserve">to </w:t>
      </w:r>
      <w:r w:rsidRPr="000523C8">
        <w:rPr>
          <w:b/>
        </w:rPr>
        <w:t>$</w:t>
      </w:r>
      <w:r w:rsidR="002854C9" w:rsidRPr="000523C8">
        <w:rPr>
          <w:b/>
        </w:rPr>
        <w:t>42.9</w:t>
      </w:r>
      <w:r w:rsidRPr="000523C8">
        <w:rPr>
          <w:b/>
        </w:rPr>
        <w:t xml:space="preserve"> million</w:t>
      </w:r>
      <w:r w:rsidRPr="005614BC">
        <w:t xml:space="preserve"> correspond to </w:t>
      </w:r>
      <w:r w:rsidR="00972CC4" w:rsidRPr="005614BC">
        <w:t>locally made spirits</w:t>
      </w:r>
      <w:r w:rsidRPr="005614BC">
        <w:t>.</w:t>
      </w:r>
    </w:p>
    <w:p w14:paraId="24EB15AE" w14:textId="77777777" w:rsidR="00B15B09" w:rsidRPr="00B15B09" w:rsidRDefault="00B15B09" w:rsidP="00B15B09">
      <w:pPr>
        <w:pStyle w:val="ListParagraph"/>
        <w:spacing w:after="0"/>
        <w:ind w:left="1080"/>
        <w:jc w:val="both"/>
        <w:rPr>
          <w:b/>
          <w:szCs w:val="24"/>
        </w:rPr>
      </w:pPr>
    </w:p>
    <w:p w14:paraId="31F4AD68" w14:textId="77777777" w:rsidR="000E77B4" w:rsidRDefault="000E77B4" w:rsidP="000E77B4">
      <w:pPr>
        <w:spacing w:after="0"/>
        <w:jc w:val="both"/>
        <w:rPr>
          <w:b/>
          <w:szCs w:val="24"/>
        </w:rPr>
      </w:pPr>
      <w:r>
        <w:rPr>
          <w:b/>
          <w:szCs w:val="24"/>
        </w:rPr>
        <w:t>Supply chain effects</w:t>
      </w:r>
    </w:p>
    <w:p w14:paraId="12AD4793" w14:textId="77777777" w:rsidR="000E77B4" w:rsidRPr="00BC3E7D" w:rsidRDefault="000E77B4" w:rsidP="000E77B4">
      <w:pPr>
        <w:spacing w:after="0"/>
        <w:jc w:val="both"/>
        <w:rPr>
          <w:b/>
          <w:szCs w:val="24"/>
        </w:rPr>
      </w:pPr>
    </w:p>
    <w:p w14:paraId="1C9F8F3F" w14:textId="2EF3CC88" w:rsidR="000E77B4" w:rsidRPr="00917B08" w:rsidRDefault="000E77B4" w:rsidP="007A41A4">
      <w:pPr>
        <w:pStyle w:val="ListParagraph"/>
        <w:widowControl w:val="0"/>
        <w:numPr>
          <w:ilvl w:val="0"/>
          <w:numId w:val="7"/>
        </w:numPr>
        <w:tabs>
          <w:tab w:val="left" w:pos="1321"/>
        </w:tabs>
        <w:autoSpaceDE w:val="0"/>
        <w:autoSpaceDN w:val="0"/>
        <w:spacing w:after="0" w:line="360" w:lineRule="auto"/>
        <w:ind w:right="358"/>
        <w:contextualSpacing w:val="0"/>
        <w:jc w:val="both"/>
      </w:pPr>
      <w:r w:rsidRPr="00917B08">
        <w:rPr>
          <w:b/>
        </w:rPr>
        <w:t xml:space="preserve">Merchant wholesalers </w:t>
      </w:r>
      <w:r w:rsidR="00B36F34" w:rsidRPr="00917B08">
        <w:rPr>
          <w:b/>
        </w:rPr>
        <w:t xml:space="preserve">of nondurables </w:t>
      </w:r>
      <w:r w:rsidRPr="00917B08">
        <w:t>top the list of suppliers ($</w:t>
      </w:r>
      <w:r w:rsidR="00396504">
        <w:t>106.7</w:t>
      </w:r>
      <w:r w:rsidRPr="00917B08">
        <w:t xml:space="preserve"> million), followed by </w:t>
      </w:r>
      <w:r w:rsidR="00B36F34" w:rsidRPr="00917B08">
        <w:t xml:space="preserve">wholesalers of machinery and equipment </w:t>
      </w:r>
      <w:r w:rsidRPr="00917B08">
        <w:t>($</w:t>
      </w:r>
      <w:r w:rsidR="00396504">
        <w:t>44.0</w:t>
      </w:r>
      <w:r w:rsidRPr="00917B08">
        <w:t xml:space="preserve"> million),</w:t>
      </w:r>
      <w:r w:rsidRPr="00917B08">
        <w:rPr>
          <w:position w:val="8"/>
          <w:sz w:val="16"/>
        </w:rPr>
        <w:t xml:space="preserve"> </w:t>
      </w:r>
      <w:r w:rsidRPr="00917B08">
        <w:t>glass container manufacturing ($2</w:t>
      </w:r>
      <w:r w:rsidR="00396504">
        <w:t>8.3</w:t>
      </w:r>
      <w:r w:rsidRPr="00917B08">
        <w:t xml:space="preserve"> million), </w:t>
      </w:r>
      <w:r w:rsidR="00F37F31">
        <w:t xml:space="preserve">and </w:t>
      </w:r>
      <w:r w:rsidRPr="00917B08">
        <w:t>truck transportation ($</w:t>
      </w:r>
      <w:r w:rsidR="00731DBE" w:rsidRPr="00917B08">
        <w:t>2</w:t>
      </w:r>
      <w:r w:rsidR="00F37F31">
        <w:t>6.0</w:t>
      </w:r>
      <w:r w:rsidRPr="00917B08">
        <w:t xml:space="preserve"> </w:t>
      </w:r>
      <w:r w:rsidRPr="00917B08">
        <w:lastRenderedPageBreak/>
        <w:t>million)</w:t>
      </w:r>
      <w:r w:rsidR="00F37F31">
        <w:t>. Other</w:t>
      </w:r>
      <w:r w:rsidR="00731DBE" w:rsidRPr="00917B08">
        <w:t xml:space="preserve"> suppliers like </w:t>
      </w:r>
      <w:r w:rsidRPr="00917B08">
        <w:t>marketing</w:t>
      </w:r>
      <w:r w:rsidR="005A48D9">
        <w:t>-</w:t>
      </w:r>
      <w:r w:rsidR="00731DBE" w:rsidRPr="00917B08">
        <w:t>related</w:t>
      </w:r>
      <w:r w:rsidRPr="00917B08">
        <w:t xml:space="preserve"> activities ($</w:t>
      </w:r>
      <w:r w:rsidR="00731DBE" w:rsidRPr="00917B08">
        <w:t>1</w:t>
      </w:r>
      <w:r w:rsidR="00F37F31">
        <w:t>6.5</w:t>
      </w:r>
      <w:r w:rsidRPr="00917B08">
        <w:t xml:space="preserve"> million),</w:t>
      </w:r>
      <w:r w:rsidRPr="00917B08">
        <w:rPr>
          <w:rStyle w:val="FootnoteReference"/>
        </w:rPr>
        <w:footnoteReference w:id="1"/>
      </w:r>
      <w:r w:rsidRPr="00917B08">
        <w:t xml:space="preserve"> </w:t>
      </w:r>
      <w:r w:rsidR="00F37F31">
        <w:t xml:space="preserve">wineries ($13.0 million), </w:t>
      </w:r>
      <w:r w:rsidRPr="00917B08">
        <w:t>and grain farming ($</w:t>
      </w:r>
      <w:r w:rsidR="00F37F31">
        <w:t>5.5</w:t>
      </w:r>
      <w:r w:rsidRPr="00917B08">
        <w:t xml:space="preserve"> million), </w:t>
      </w:r>
      <w:r w:rsidR="00F37F31">
        <w:t>also make the list</w:t>
      </w:r>
      <w:r w:rsidRPr="00917B08">
        <w:t>.</w:t>
      </w:r>
    </w:p>
    <w:p w14:paraId="30472A3F" w14:textId="725BB3A9" w:rsidR="000E77B4" w:rsidRPr="00917B08" w:rsidRDefault="000E77B4" w:rsidP="007A41A4">
      <w:pPr>
        <w:pStyle w:val="ListParagraph"/>
        <w:widowControl w:val="0"/>
        <w:numPr>
          <w:ilvl w:val="0"/>
          <w:numId w:val="7"/>
        </w:numPr>
        <w:tabs>
          <w:tab w:val="left" w:pos="1321"/>
        </w:tabs>
        <w:autoSpaceDE w:val="0"/>
        <w:autoSpaceDN w:val="0"/>
        <w:spacing w:after="0" w:line="360" w:lineRule="auto"/>
        <w:ind w:right="360"/>
        <w:contextualSpacing w:val="0"/>
        <w:jc w:val="both"/>
      </w:pPr>
      <w:r w:rsidRPr="00917B08">
        <w:t xml:space="preserve">The group of </w:t>
      </w:r>
      <w:r w:rsidR="00CA6FBE" w:rsidRPr="00917B08">
        <w:t>merchant</w:t>
      </w:r>
      <w:r w:rsidRPr="00917B08">
        <w:t xml:space="preserve"> </w:t>
      </w:r>
      <w:r w:rsidR="00CA6FBE" w:rsidRPr="00917B08">
        <w:t>wholesalers’</w:t>
      </w:r>
      <w:r w:rsidR="00731DBE" w:rsidRPr="00917B08">
        <w:t xml:space="preserve"> nondurables</w:t>
      </w:r>
      <w:r w:rsidRPr="00917B08">
        <w:t xml:space="preserve"> is a general category that includes alcoholic beverages merchants, grain and field bean merchants, and several other</w:t>
      </w:r>
      <w:r w:rsidRPr="00917B08">
        <w:rPr>
          <w:spacing w:val="-28"/>
        </w:rPr>
        <w:t xml:space="preserve"> </w:t>
      </w:r>
      <w:r w:rsidRPr="00917B08">
        <w:t>products.</w:t>
      </w:r>
    </w:p>
    <w:p w14:paraId="352C7BDE" w14:textId="50B0F21F" w:rsidR="000E77B4" w:rsidRPr="00917B08" w:rsidRDefault="000E77B4" w:rsidP="007A41A4">
      <w:pPr>
        <w:pStyle w:val="ListParagraph"/>
        <w:widowControl w:val="0"/>
        <w:numPr>
          <w:ilvl w:val="0"/>
          <w:numId w:val="7"/>
        </w:numPr>
        <w:tabs>
          <w:tab w:val="left" w:pos="1321"/>
        </w:tabs>
        <w:autoSpaceDE w:val="0"/>
        <w:autoSpaceDN w:val="0"/>
        <w:spacing w:after="0" w:line="360" w:lineRule="auto"/>
        <w:ind w:right="358"/>
        <w:contextualSpacing w:val="0"/>
        <w:jc w:val="both"/>
      </w:pPr>
      <w:r w:rsidRPr="00917B08">
        <w:t>An</w:t>
      </w:r>
      <w:r w:rsidRPr="00917B08">
        <w:rPr>
          <w:spacing w:val="-15"/>
        </w:rPr>
        <w:t xml:space="preserve"> </w:t>
      </w:r>
      <w:r w:rsidRPr="00917B08">
        <w:t>important</w:t>
      </w:r>
      <w:r w:rsidRPr="00917B08">
        <w:rPr>
          <w:spacing w:val="-16"/>
        </w:rPr>
        <w:t xml:space="preserve"> </w:t>
      </w:r>
      <w:r w:rsidRPr="00917B08">
        <w:t>portion</w:t>
      </w:r>
      <w:r w:rsidRPr="00917B08">
        <w:rPr>
          <w:spacing w:val="-16"/>
        </w:rPr>
        <w:t xml:space="preserve"> </w:t>
      </w:r>
      <w:r w:rsidRPr="00917B08">
        <w:t>of</w:t>
      </w:r>
      <w:r w:rsidRPr="00917B08">
        <w:rPr>
          <w:spacing w:val="-16"/>
        </w:rPr>
        <w:t xml:space="preserve"> </w:t>
      </w:r>
      <w:r w:rsidRPr="00917B08">
        <w:t>the</w:t>
      </w:r>
      <w:r w:rsidRPr="00917B08">
        <w:rPr>
          <w:spacing w:val="-16"/>
        </w:rPr>
        <w:t xml:space="preserve"> </w:t>
      </w:r>
      <w:r w:rsidRPr="00917B08">
        <w:t>goods</w:t>
      </w:r>
      <w:r w:rsidRPr="00917B08">
        <w:rPr>
          <w:spacing w:val="-16"/>
        </w:rPr>
        <w:t xml:space="preserve"> </w:t>
      </w:r>
      <w:r w:rsidRPr="00917B08">
        <w:t>and</w:t>
      </w:r>
      <w:r w:rsidRPr="00917B08">
        <w:rPr>
          <w:spacing w:val="-16"/>
        </w:rPr>
        <w:t xml:space="preserve"> </w:t>
      </w:r>
      <w:r w:rsidRPr="00917B08">
        <w:t>services</w:t>
      </w:r>
      <w:r w:rsidRPr="00917B08">
        <w:rPr>
          <w:spacing w:val="-15"/>
        </w:rPr>
        <w:t xml:space="preserve"> </w:t>
      </w:r>
      <w:r w:rsidRPr="00917B08">
        <w:t>supplied</w:t>
      </w:r>
      <w:r w:rsidRPr="00917B08">
        <w:rPr>
          <w:spacing w:val="-15"/>
        </w:rPr>
        <w:t xml:space="preserve"> </w:t>
      </w:r>
      <w:r w:rsidRPr="00917B08">
        <w:t>to</w:t>
      </w:r>
      <w:r w:rsidRPr="00917B08">
        <w:rPr>
          <w:spacing w:val="-16"/>
        </w:rPr>
        <w:t xml:space="preserve"> </w:t>
      </w:r>
      <w:r w:rsidRPr="00917B08">
        <w:t>distillers</w:t>
      </w:r>
      <w:r w:rsidRPr="00917B08">
        <w:rPr>
          <w:spacing w:val="-17"/>
        </w:rPr>
        <w:t xml:space="preserve"> </w:t>
      </w:r>
      <w:r w:rsidRPr="00917B08">
        <w:t>comes</w:t>
      </w:r>
      <w:r w:rsidRPr="00917B08">
        <w:rPr>
          <w:spacing w:val="-16"/>
        </w:rPr>
        <w:t xml:space="preserve"> </w:t>
      </w:r>
      <w:r w:rsidRPr="00917B08">
        <w:t>from</w:t>
      </w:r>
      <w:r w:rsidRPr="00917B08">
        <w:rPr>
          <w:spacing w:val="-13"/>
        </w:rPr>
        <w:t xml:space="preserve"> </w:t>
      </w:r>
      <w:r w:rsidRPr="00917B08">
        <w:t xml:space="preserve">Texas producers. For example, </w:t>
      </w:r>
      <w:r w:rsidR="007C0174">
        <w:rPr>
          <w:b/>
        </w:rPr>
        <w:t>86.9</w:t>
      </w:r>
      <w:r w:rsidRPr="00917B08">
        <w:rPr>
          <w:b/>
        </w:rPr>
        <w:t xml:space="preserve"> percent </w:t>
      </w:r>
      <w:r w:rsidRPr="00917B08">
        <w:t>of the $</w:t>
      </w:r>
      <w:r w:rsidR="00C1339F">
        <w:t>106.7</w:t>
      </w:r>
      <w:r w:rsidRPr="00917B08">
        <w:t xml:space="preserve"> million provided by merchant wholesalers comes from local companies. </w:t>
      </w:r>
      <w:r w:rsidR="00593E8F" w:rsidRPr="00917B08">
        <w:t>With</w:t>
      </w:r>
      <w:r w:rsidRPr="00917B08">
        <w:t xml:space="preserve"> grain farming, local producers supplied </w:t>
      </w:r>
      <w:r w:rsidR="007A6DF6" w:rsidRPr="00917B08">
        <w:rPr>
          <w:b/>
        </w:rPr>
        <w:t>3</w:t>
      </w:r>
      <w:r w:rsidR="007C0174">
        <w:rPr>
          <w:b/>
        </w:rPr>
        <w:t>0.6</w:t>
      </w:r>
      <w:r w:rsidRPr="00917B08">
        <w:rPr>
          <w:b/>
        </w:rPr>
        <w:t xml:space="preserve"> percent </w:t>
      </w:r>
      <w:r w:rsidRPr="00917B08">
        <w:t>of the $</w:t>
      </w:r>
      <w:r w:rsidR="00C1339F">
        <w:t>5.5</w:t>
      </w:r>
      <w:r w:rsidRPr="00917B08">
        <w:t xml:space="preserve"> million used in distilling spirits.</w:t>
      </w:r>
    </w:p>
    <w:p w14:paraId="0698CA58" w14:textId="77777777" w:rsidR="000E77B4" w:rsidRDefault="000E77B4" w:rsidP="000E77B4"/>
    <w:p w14:paraId="2E974B84" w14:textId="77777777" w:rsidR="000E77B4" w:rsidRDefault="000E77B4" w:rsidP="000E77B4"/>
    <w:p w14:paraId="7D38CD9B" w14:textId="77777777" w:rsidR="004C192B" w:rsidRDefault="004C192B" w:rsidP="000E77B4"/>
    <w:p w14:paraId="0734BE87" w14:textId="77777777" w:rsidR="004C192B" w:rsidRDefault="004C192B" w:rsidP="000E77B4"/>
    <w:p w14:paraId="0D7E0767" w14:textId="77777777" w:rsidR="004C192B" w:rsidRDefault="004C192B" w:rsidP="000E77B4"/>
    <w:p w14:paraId="36EEC366" w14:textId="77777777" w:rsidR="004C192B" w:rsidRDefault="004C192B" w:rsidP="000E77B4"/>
    <w:p w14:paraId="00CAF6C0" w14:textId="77777777" w:rsidR="00495990" w:rsidRDefault="00495990" w:rsidP="000E77B4"/>
    <w:p w14:paraId="0568DD4D" w14:textId="77777777" w:rsidR="00495990" w:rsidRDefault="00495990" w:rsidP="000E77B4"/>
    <w:p w14:paraId="22FE7345" w14:textId="77777777" w:rsidR="00495990" w:rsidRDefault="00495990" w:rsidP="000E77B4"/>
    <w:p w14:paraId="1698E80E" w14:textId="77777777" w:rsidR="00495990" w:rsidRDefault="00495990" w:rsidP="000E77B4"/>
    <w:p w14:paraId="030B2E4E" w14:textId="77777777" w:rsidR="00495990" w:rsidRDefault="00495990" w:rsidP="000E77B4"/>
    <w:p w14:paraId="5EFC0D8F" w14:textId="77777777" w:rsidR="00495990" w:rsidRDefault="00495990" w:rsidP="000E77B4"/>
    <w:p w14:paraId="06A11763" w14:textId="77777777" w:rsidR="00495990" w:rsidRDefault="00495990" w:rsidP="000E77B4"/>
    <w:p w14:paraId="6D0AD707" w14:textId="77777777" w:rsidR="00495990" w:rsidRDefault="00495990" w:rsidP="000E77B4"/>
    <w:p w14:paraId="53E80BDF" w14:textId="77777777" w:rsidR="00495990" w:rsidRDefault="00495990" w:rsidP="000E77B4"/>
    <w:p w14:paraId="081C4C3F" w14:textId="77777777" w:rsidR="00495990" w:rsidRDefault="00495990" w:rsidP="000E77B4"/>
    <w:p w14:paraId="743C5B70" w14:textId="7554CC40" w:rsidR="00916F19" w:rsidRPr="009B5851" w:rsidRDefault="00916F19" w:rsidP="00E01916">
      <w:pPr>
        <w:pStyle w:val="Heading1"/>
        <w:jc w:val="center"/>
      </w:pPr>
      <w:r w:rsidRPr="009B5851">
        <w:lastRenderedPageBreak/>
        <w:t>Economic Contributions</w:t>
      </w:r>
      <w:bookmarkEnd w:id="0"/>
      <w:r w:rsidR="00E01916" w:rsidRPr="009B5851">
        <w:t xml:space="preserve"> of Texas’ Distillers in 20</w:t>
      </w:r>
      <w:r w:rsidR="00DB34D8">
        <w:t>20</w:t>
      </w:r>
    </w:p>
    <w:p w14:paraId="4A8CDDCF" w14:textId="6C1529AD" w:rsidR="00916F19" w:rsidRPr="009B5851" w:rsidRDefault="00916F19" w:rsidP="00916F19">
      <w:pPr>
        <w:jc w:val="both"/>
      </w:pPr>
      <w:r w:rsidRPr="009B5851">
        <w:t xml:space="preserve">The </w:t>
      </w:r>
      <w:r w:rsidR="00BF304B">
        <w:t>current analysis</w:t>
      </w:r>
      <w:r w:rsidRPr="009B5851">
        <w:t xml:space="preserve"> </w:t>
      </w:r>
      <w:r w:rsidR="00BF304B">
        <w:t>depict</w:t>
      </w:r>
      <w:r w:rsidRPr="009B5851">
        <w:t xml:space="preserve">s the </w:t>
      </w:r>
      <w:r w:rsidR="00FD1C70" w:rsidRPr="009B5851">
        <w:t>value</w:t>
      </w:r>
      <w:r w:rsidRPr="009B5851">
        <w:t xml:space="preserve">s and opportunities in Texas created by distillers. </w:t>
      </w:r>
      <w:r w:rsidR="00BF304B">
        <w:t>I</w:t>
      </w:r>
      <w:r w:rsidRPr="009B5851">
        <w:t>n 20</w:t>
      </w:r>
      <w:r w:rsidR="0002427F">
        <w:t>20</w:t>
      </w:r>
      <w:r w:rsidRPr="009B5851">
        <w:t xml:space="preserve">, </w:t>
      </w:r>
      <w:r w:rsidR="00BF304B">
        <w:t xml:space="preserve">190 distillers </w:t>
      </w:r>
      <w:r w:rsidRPr="009B5851">
        <w:t xml:space="preserve">supported </w:t>
      </w:r>
      <w:r w:rsidR="00FD1C70" w:rsidRPr="009B5851">
        <w:t>almost</w:t>
      </w:r>
      <w:r w:rsidRPr="009B5851">
        <w:t xml:space="preserve"> </w:t>
      </w:r>
      <w:r w:rsidR="00863B88" w:rsidRPr="009B5851">
        <w:t>4,</w:t>
      </w:r>
      <w:r w:rsidR="0002427F">
        <w:t>900</w:t>
      </w:r>
      <w:r w:rsidRPr="009B5851">
        <w:t xml:space="preserve"> jobs, </w:t>
      </w:r>
      <w:r w:rsidR="00CC7119">
        <w:t xml:space="preserve">over </w:t>
      </w:r>
      <w:r w:rsidRPr="009B5851">
        <w:t>$</w:t>
      </w:r>
      <w:r w:rsidR="0002427F">
        <w:t>2.0</w:t>
      </w:r>
      <w:r w:rsidRPr="009B5851">
        <w:t xml:space="preserve"> billion in output, </w:t>
      </w:r>
      <w:r w:rsidR="00FD1C70" w:rsidRPr="009B5851">
        <w:t>near</w:t>
      </w:r>
      <w:r w:rsidRPr="009B5851">
        <w:t xml:space="preserve"> $</w:t>
      </w:r>
      <w:r w:rsidR="00DB7D1B" w:rsidRPr="009B5851">
        <w:t>9</w:t>
      </w:r>
      <w:r w:rsidR="0002427F">
        <w:t>48.2</w:t>
      </w:r>
      <w:r w:rsidRPr="009B5851">
        <w:t xml:space="preserve"> million in gross state product, and over $</w:t>
      </w:r>
      <w:r w:rsidR="00DB7D1B" w:rsidRPr="009B5851">
        <w:t>3</w:t>
      </w:r>
      <w:r w:rsidR="0002427F">
        <w:t>34.9</w:t>
      </w:r>
      <w:r w:rsidRPr="009B5851">
        <w:t xml:space="preserve"> million in payroll.</w:t>
      </w:r>
    </w:p>
    <w:p w14:paraId="19262D70" w14:textId="359E1216" w:rsidR="00916F19" w:rsidRDefault="006E1A92" w:rsidP="00916F19">
      <w:pPr>
        <w:jc w:val="both"/>
      </w:pPr>
      <w:r w:rsidRPr="009B5851">
        <w:t>As in previous studies, t</w:t>
      </w:r>
      <w:r w:rsidR="00916F19" w:rsidRPr="009B5851">
        <w:t>wo North American Industry Classification System (NAICS) codes were used to estimate the contributions of the industry. Federal agencies define the industry with NAICS code 312140 as distilleries and NAICS 312130 as wineries; this last code includes brandy activity. Federal agency data do not show the information for brandy employment separate from wine production. In 20</w:t>
      </w:r>
      <w:r w:rsidR="0029336F">
        <w:t>20</w:t>
      </w:r>
      <w:r w:rsidR="00916F19" w:rsidRPr="009B5851">
        <w:t xml:space="preserve">, distillers directly hired </w:t>
      </w:r>
      <w:r w:rsidR="00FC125A" w:rsidRPr="009B5851">
        <w:t>1,</w:t>
      </w:r>
      <w:r w:rsidR="0029336F">
        <w:t>321</w:t>
      </w:r>
      <w:r w:rsidR="00916F19" w:rsidRPr="009B5851">
        <w:t xml:space="preserve"> employees</w:t>
      </w:r>
      <w:r w:rsidR="00643DC1" w:rsidRPr="009B5851">
        <w:t xml:space="preserve">, </w:t>
      </w:r>
      <w:r w:rsidR="00916F19" w:rsidRPr="009B5851">
        <w:t xml:space="preserve">and brandy producers directly hired </w:t>
      </w:r>
      <w:r w:rsidR="00FC125A" w:rsidRPr="009B5851">
        <w:t>36</w:t>
      </w:r>
      <w:r w:rsidR="00916F19" w:rsidRPr="009B5851">
        <w:t xml:space="preserve"> employees, for a combined total of </w:t>
      </w:r>
      <w:r w:rsidR="00FC125A" w:rsidRPr="009B5851">
        <w:t>1,</w:t>
      </w:r>
      <w:r w:rsidR="00910304">
        <w:t>357</w:t>
      </w:r>
      <w:r w:rsidR="00916F19" w:rsidRPr="009B5851">
        <w:t xml:space="preserve"> employees.</w:t>
      </w:r>
    </w:p>
    <w:p w14:paraId="68A9CFFE" w14:textId="35550235" w:rsidR="00916F19" w:rsidRDefault="00916F19" w:rsidP="00916F19">
      <w:pPr>
        <w:jc w:val="both"/>
      </w:pPr>
      <w:r>
        <w:t xml:space="preserve">The table </w:t>
      </w:r>
      <w:r w:rsidR="00CC7119">
        <w:t xml:space="preserve">below </w:t>
      </w:r>
      <w:r>
        <w:t xml:space="preserve">shows output, gross state product, payroll, and employment contributions for </w:t>
      </w:r>
      <w:r w:rsidRPr="00AD589E">
        <w:t>20</w:t>
      </w:r>
      <w:r w:rsidR="0015633D">
        <w:t>20</w:t>
      </w:r>
      <w:r>
        <w:t>:</w:t>
      </w:r>
    </w:p>
    <w:p w14:paraId="559D26DA" w14:textId="77777777" w:rsidR="00916F19" w:rsidRDefault="00916F19" w:rsidP="00916F19">
      <w:pPr>
        <w:spacing w:after="0"/>
        <w:jc w:val="both"/>
      </w:pPr>
    </w:p>
    <w:tbl>
      <w:tblPr>
        <w:tblW w:w="9554"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7"/>
        <w:gridCol w:w="1418"/>
        <w:gridCol w:w="1702"/>
        <w:gridCol w:w="1513"/>
        <w:gridCol w:w="1324"/>
      </w:tblGrid>
      <w:tr w:rsidR="00916F19" w:rsidRPr="009B5851" w14:paraId="5613976E" w14:textId="77777777" w:rsidTr="00495990">
        <w:trPr>
          <w:trHeight w:val="287"/>
        </w:trPr>
        <w:tc>
          <w:tcPr>
            <w:tcW w:w="9554" w:type="dxa"/>
            <w:gridSpan w:val="5"/>
            <w:tcBorders>
              <w:top w:val="single" w:sz="4" w:space="0" w:color="auto"/>
              <w:left w:val="single" w:sz="4" w:space="0" w:color="auto"/>
              <w:bottom w:val="nil"/>
              <w:right w:val="single" w:sz="4" w:space="0" w:color="auto"/>
            </w:tcBorders>
            <w:shd w:val="solid" w:color="C0C0C0" w:fill="auto"/>
          </w:tcPr>
          <w:p w14:paraId="08E86266" w14:textId="7F47D7C2" w:rsidR="00916F19" w:rsidRPr="009B5851" w:rsidRDefault="00916F19" w:rsidP="00E01916">
            <w:pPr>
              <w:autoSpaceDE w:val="0"/>
              <w:autoSpaceDN w:val="0"/>
              <w:adjustRightInd w:val="0"/>
              <w:jc w:val="center"/>
              <w:rPr>
                <w:rFonts w:ascii="Calibri" w:hAnsi="Calibri" w:cs="Calibri"/>
                <w:b/>
                <w:bCs/>
                <w:color w:val="000000"/>
              </w:rPr>
            </w:pPr>
            <w:r w:rsidRPr="009B5851">
              <w:rPr>
                <w:rFonts w:ascii="Calibri" w:hAnsi="Calibri" w:cs="Calibri"/>
                <w:b/>
                <w:bCs/>
                <w:color w:val="000000"/>
              </w:rPr>
              <w:t>Economic Contributions of Distillers in Texas 20</w:t>
            </w:r>
            <w:r w:rsidR="0015633D">
              <w:rPr>
                <w:rFonts w:ascii="Calibri" w:hAnsi="Calibri" w:cs="Calibri"/>
                <w:b/>
                <w:bCs/>
                <w:color w:val="000000"/>
              </w:rPr>
              <w:t>20</w:t>
            </w:r>
            <w:r w:rsidRPr="009B5851">
              <w:rPr>
                <w:rFonts w:ascii="Calibri" w:hAnsi="Calibri" w:cs="Calibri"/>
                <w:b/>
                <w:bCs/>
                <w:color w:val="000000"/>
              </w:rPr>
              <w:t xml:space="preserve"> (Including Brandy)</w:t>
            </w:r>
          </w:p>
        </w:tc>
      </w:tr>
      <w:tr w:rsidR="00916F19" w:rsidRPr="009B5851" w14:paraId="57AF1D53" w14:textId="77777777" w:rsidTr="00495990">
        <w:trPr>
          <w:trHeight w:val="287"/>
        </w:trPr>
        <w:tc>
          <w:tcPr>
            <w:tcW w:w="3597" w:type="dxa"/>
            <w:tcBorders>
              <w:top w:val="nil"/>
              <w:left w:val="single" w:sz="4" w:space="0" w:color="auto"/>
              <w:bottom w:val="single" w:sz="4" w:space="0" w:color="auto"/>
            </w:tcBorders>
            <w:shd w:val="solid" w:color="C0C0C0" w:fill="auto"/>
          </w:tcPr>
          <w:p w14:paraId="48A52F87" w14:textId="77777777" w:rsidR="00916F19" w:rsidRPr="009B5851" w:rsidRDefault="00916F19" w:rsidP="00E01916">
            <w:pPr>
              <w:autoSpaceDE w:val="0"/>
              <w:autoSpaceDN w:val="0"/>
              <w:adjustRightInd w:val="0"/>
              <w:jc w:val="right"/>
              <w:rPr>
                <w:rFonts w:ascii="Calibri" w:hAnsi="Calibri" w:cs="Calibri"/>
                <w:color w:val="000000"/>
                <w:sz w:val="20"/>
              </w:rPr>
            </w:pPr>
          </w:p>
        </w:tc>
        <w:tc>
          <w:tcPr>
            <w:tcW w:w="1418" w:type="dxa"/>
            <w:tcBorders>
              <w:top w:val="nil"/>
              <w:bottom w:val="single" w:sz="4" w:space="0" w:color="auto"/>
            </w:tcBorders>
            <w:shd w:val="solid" w:color="C0C0C0" w:fill="auto"/>
          </w:tcPr>
          <w:p w14:paraId="041D1C59" w14:textId="77777777" w:rsidR="00916F19" w:rsidRPr="009B5851" w:rsidRDefault="00916F19" w:rsidP="00E01916">
            <w:pPr>
              <w:autoSpaceDE w:val="0"/>
              <w:autoSpaceDN w:val="0"/>
              <w:adjustRightInd w:val="0"/>
              <w:jc w:val="center"/>
              <w:rPr>
                <w:rFonts w:ascii="Arial" w:hAnsi="Arial" w:cs="Arial"/>
                <w:b/>
                <w:bCs/>
                <w:color w:val="000000"/>
                <w:sz w:val="20"/>
              </w:rPr>
            </w:pPr>
            <w:r w:rsidRPr="009B5851">
              <w:rPr>
                <w:rFonts w:ascii="Arial" w:hAnsi="Arial" w:cs="Arial"/>
                <w:b/>
                <w:bCs/>
                <w:color w:val="000000"/>
                <w:sz w:val="20"/>
              </w:rPr>
              <w:t>Direct</w:t>
            </w:r>
          </w:p>
        </w:tc>
        <w:tc>
          <w:tcPr>
            <w:tcW w:w="1702" w:type="dxa"/>
            <w:tcBorders>
              <w:top w:val="nil"/>
              <w:bottom w:val="single" w:sz="4" w:space="0" w:color="auto"/>
            </w:tcBorders>
            <w:shd w:val="solid" w:color="C0C0C0" w:fill="auto"/>
          </w:tcPr>
          <w:p w14:paraId="6BD52EB0" w14:textId="77777777" w:rsidR="00916F19" w:rsidRPr="009B5851" w:rsidRDefault="00916F19" w:rsidP="00E01916">
            <w:pPr>
              <w:autoSpaceDE w:val="0"/>
              <w:autoSpaceDN w:val="0"/>
              <w:adjustRightInd w:val="0"/>
              <w:jc w:val="center"/>
              <w:rPr>
                <w:rFonts w:ascii="Arial" w:hAnsi="Arial" w:cs="Arial"/>
                <w:b/>
                <w:bCs/>
                <w:color w:val="000000"/>
                <w:sz w:val="20"/>
              </w:rPr>
            </w:pPr>
            <w:r w:rsidRPr="009B5851">
              <w:rPr>
                <w:rFonts w:ascii="Arial" w:hAnsi="Arial" w:cs="Arial"/>
                <w:b/>
                <w:bCs/>
                <w:color w:val="000000"/>
                <w:sz w:val="20"/>
              </w:rPr>
              <w:t>Indirect</w:t>
            </w:r>
          </w:p>
        </w:tc>
        <w:tc>
          <w:tcPr>
            <w:tcW w:w="1513" w:type="dxa"/>
            <w:tcBorders>
              <w:top w:val="nil"/>
              <w:bottom w:val="single" w:sz="4" w:space="0" w:color="auto"/>
            </w:tcBorders>
            <w:shd w:val="solid" w:color="C0C0C0" w:fill="auto"/>
          </w:tcPr>
          <w:p w14:paraId="6C6D0428" w14:textId="77777777" w:rsidR="00916F19" w:rsidRPr="009B5851" w:rsidRDefault="00916F19" w:rsidP="00E01916">
            <w:pPr>
              <w:autoSpaceDE w:val="0"/>
              <w:autoSpaceDN w:val="0"/>
              <w:adjustRightInd w:val="0"/>
              <w:jc w:val="center"/>
              <w:rPr>
                <w:rFonts w:cs="Arial"/>
                <w:b/>
                <w:bCs/>
                <w:color w:val="000000"/>
              </w:rPr>
            </w:pPr>
            <w:r w:rsidRPr="009B5851">
              <w:rPr>
                <w:rFonts w:cs="Arial"/>
                <w:b/>
                <w:bCs/>
                <w:color w:val="000000"/>
              </w:rPr>
              <w:t>Induced</w:t>
            </w:r>
          </w:p>
        </w:tc>
        <w:tc>
          <w:tcPr>
            <w:tcW w:w="1324" w:type="dxa"/>
            <w:tcBorders>
              <w:top w:val="nil"/>
              <w:bottom w:val="single" w:sz="4" w:space="0" w:color="auto"/>
              <w:right w:val="single" w:sz="4" w:space="0" w:color="auto"/>
            </w:tcBorders>
            <w:shd w:val="solid" w:color="C0C0C0" w:fill="auto"/>
          </w:tcPr>
          <w:p w14:paraId="2D4553DD" w14:textId="77777777" w:rsidR="00916F19" w:rsidRPr="009B5851" w:rsidRDefault="00916F19" w:rsidP="00E01916">
            <w:pPr>
              <w:autoSpaceDE w:val="0"/>
              <w:autoSpaceDN w:val="0"/>
              <w:adjustRightInd w:val="0"/>
              <w:jc w:val="center"/>
              <w:rPr>
                <w:rFonts w:ascii="Calibri" w:hAnsi="Calibri" w:cs="Calibri"/>
                <w:b/>
                <w:bCs/>
                <w:color w:val="000000"/>
              </w:rPr>
            </w:pPr>
            <w:r w:rsidRPr="009B5851">
              <w:rPr>
                <w:rFonts w:ascii="Calibri" w:hAnsi="Calibri" w:cs="Calibri"/>
                <w:b/>
                <w:bCs/>
                <w:color w:val="000000"/>
              </w:rPr>
              <w:t>Total</w:t>
            </w:r>
          </w:p>
        </w:tc>
      </w:tr>
      <w:tr w:rsidR="00F67360" w:rsidRPr="009B5851" w14:paraId="1877C8C3" w14:textId="77777777" w:rsidTr="00495990">
        <w:trPr>
          <w:trHeight w:val="372"/>
        </w:trPr>
        <w:tc>
          <w:tcPr>
            <w:tcW w:w="3597" w:type="dxa"/>
            <w:tcBorders>
              <w:top w:val="single" w:sz="4" w:space="0" w:color="auto"/>
              <w:left w:val="single" w:sz="4" w:space="0" w:color="auto"/>
            </w:tcBorders>
          </w:tcPr>
          <w:p w14:paraId="7404E366" w14:textId="77777777" w:rsidR="00F67360" w:rsidRPr="009B5851" w:rsidRDefault="00F67360" w:rsidP="00F67360">
            <w:pPr>
              <w:autoSpaceDE w:val="0"/>
              <w:autoSpaceDN w:val="0"/>
              <w:adjustRightInd w:val="0"/>
              <w:spacing w:after="0"/>
              <w:rPr>
                <w:rFonts w:ascii="Calibri" w:hAnsi="Calibri" w:cs="Calibri"/>
                <w:color w:val="000000"/>
                <w:sz w:val="20"/>
              </w:rPr>
            </w:pPr>
            <w:r w:rsidRPr="009B5851">
              <w:rPr>
                <w:rFonts w:ascii="Calibri" w:hAnsi="Calibri" w:cs="Calibri"/>
                <w:color w:val="000000"/>
                <w:sz w:val="20"/>
              </w:rPr>
              <w:t>Output (millions of dollars)</w:t>
            </w:r>
          </w:p>
        </w:tc>
        <w:tc>
          <w:tcPr>
            <w:tcW w:w="1418" w:type="dxa"/>
            <w:tcBorders>
              <w:top w:val="single" w:sz="4" w:space="0" w:color="auto"/>
            </w:tcBorders>
          </w:tcPr>
          <w:p w14:paraId="7A94AF9F" w14:textId="6B238E74"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$1,294.3</w:t>
            </w:r>
          </w:p>
        </w:tc>
        <w:tc>
          <w:tcPr>
            <w:tcW w:w="1702" w:type="dxa"/>
            <w:tcBorders>
              <w:top w:val="single" w:sz="4" w:space="0" w:color="auto"/>
            </w:tcBorders>
          </w:tcPr>
          <w:p w14:paraId="3522526F" w14:textId="479B6349"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$506.2</w:t>
            </w:r>
          </w:p>
        </w:tc>
        <w:tc>
          <w:tcPr>
            <w:tcW w:w="1513" w:type="dxa"/>
            <w:tcBorders>
              <w:top w:val="single" w:sz="4" w:space="0" w:color="auto"/>
            </w:tcBorders>
          </w:tcPr>
          <w:p w14:paraId="00C146EB" w14:textId="49821034"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$219.5</w:t>
            </w:r>
          </w:p>
        </w:tc>
        <w:tc>
          <w:tcPr>
            <w:tcW w:w="1324" w:type="dxa"/>
            <w:tcBorders>
              <w:top w:val="single" w:sz="4" w:space="0" w:color="auto"/>
              <w:right w:val="single" w:sz="4" w:space="0" w:color="auto"/>
            </w:tcBorders>
          </w:tcPr>
          <w:p w14:paraId="11CA49A4" w14:textId="316FFEC4"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$2,020.1</w:t>
            </w:r>
          </w:p>
        </w:tc>
      </w:tr>
      <w:tr w:rsidR="00F67360" w:rsidRPr="009B5851" w14:paraId="13FD950F" w14:textId="77777777" w:rsidTr="00495990">
        <w:trPr>
          <w:trHeight w:val="287"/>
        </w:trPr>
        <w:tc>
          <w:tcPr>
            <w:tcW w:w="3597" w:type="dxa"/>
            <w:tcBorders>
              <w:left w:val="single" w:sz="4" w:space="0" w:color="auto"/>
            </w:tcBorders>
          </w:tcPr>
          <w:p w14:paraId="465D97F3" w14:textId="77777777" w:rsidR="00F67360" w:rsidRPr="009B5851" w:rsidRDefault="00F67360" w:rsidP="00F67360">
            <w:pPr>
              <w:autoSpaceDE w:val="0"/>
              <w:autoSpaceDN w:val="0"/>
              <w:adjustRightInd w:val="0"/>
              <w:spacing w:after="0"/>
              <w:rPr>
                <w:rFonts w:ascii="Calibri" w:hAnsi="Calibri" w:cs="Calibri"/>
                <w:color w:val="000000"/>
                <w:sz w:val="20"/>
              </w:rPr>
            </w:pPr>
            <w:r w:rsidRPr="009B5851">
              <w:rPr>
                <w:rFonts w:ascii="Calibri" w:hAnsi="Calibri" w:cs="Calibri"/>
                <w:color w:val="000000"/>
                <w:sz w:val="20"/>
              </w:rPr>
              <w:t>Employment</w:t>
            </w:r>
          </w:p>
        </w:tc>
        <w:tc>
          <w:tcPr>
            <w:tcW w:w="1418" w:type="dxa"/>
          </w:tcPr>
          <w:p w14:paraId="0F9B22D4" w14:textId="3F807878"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1,357</w:t>
            </w:r>
          </w:p>
        </w:tc>
        <w:tc>
          <w:tcPr>
            <w:tcW w:w="1702" w:type="dxa"/>
          </w:tcPr>
          <w:p w14:paraId="4D93DD35" w14:textId="4653A243"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2,158</w:t>
            </w:r>
          </w:p>
        </w:tc>
        <w:tc>
          <w:tcPr>
            <w:tcW w:w="1513" w:type="dxa"/>
          </w:tcPr>
          <w:p w14:paraId="3C9A0AF4" w14:textId="2CEB1799"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1,380</w:t>
            </w:r>
          </w:p>
        </w:tc>
        <w:tc>
          <w:tcPr>
            <w:tcW w:w="1324" w:type="dxa"/>
            <w:tcBorders>
              <w:right w:val="single" w:sz="4" w:space="0" w:color="auto"/>
            </w:tcBorders>
          </w:tcPr>
          <w:p w14:paraId="7CA2FE2A" w14:textId="444A7A00"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4,895</w:t>
            </w:r>
          </w:p>
        </w:tc>
      </w:tr>
      <w:tr w:rsidR="00F67360" w:rsidRPr="009B5851" w14:paraId="5ACF6386" w14:textId="77777777" w:rsidTr="00495990">
        <w:trPr>
          <w:trHeight w:val="287"/>
        </w:trPr>
        <w:tc>
          <w:tcPr>
            <w:tcW w:w="3597" w:type="dxa"/>
            <w:tcBorders>
              <w:left w:val="single" w:sz="4" w:space="0" w:color="auto"/>
            </w:tcBorders>
          </w:tcPr>
          <w:p w14:paraId="024C2769" w14:textId="77777777" w:rsidR="00F67360" w:rsidRPr="009B5851" w:rsidRDefault="00F67360" w:rsidP="00F67360">
            <w:pPr>
              <w:autoSpaceDE w:val="0"/>
              <w:autoSpaceDN w:val="0"/>
              <w:adjustRightInd w:val="0"/>
              <w:spacing w:after="0"/>
              <w:rPr>
                <w:rFonts w:ascii="Calibri" w:hAnsi="Calibri" w:cs="Calibri"/>
                <w:color w:val="000000"/>
                <w:sz w:val="20"/>
              </w:rPr>
            </w:pPr>
            <w:r w:rsidRPr="009B5851">
              <w:rPr>
                <w:rFonts w:ascii="Calibri" w:hAnsi="Calibri" w:cs="Calibri"/>
                <w:color w:val="000000"/>
                <w:sz w:val="20"/>
              </w:rPr>
              <w:t>Gross State Product (millions of dollars)</w:t>
            </w:r>
          </w:p>
        </w:tc>
        <w:tc>
          <w:tcPr>
            <w:tcW w:w="1418" w:type="dxa"/>
          </w:tcPr>
          <w:p w14:paraId="3E909B25" w14:textId="78F57920"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$568.9</w:t>
            </w:r>
          </w:p>
        </w:tc>
        <w:tc>
          <w:tcPr>
            <w:tcW w:w="1702" w:type="dxa"/>
          </w:tcPr>
          <w:p w14:paraId="4C9CB688" w14:textId="0ECAD748"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$254.0</w:t>
            </w:r>
          </w:p>
        </w:tc>
        <w:tc>
          <w:tcPr>
            <w:tcW w:w="1513" w:type="dxa"/>
          </w:tcPr>
          <w:p w14:paraId="331352F4" w14:textId="39AEA8B1"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$125.3</w:t>
            </w:r>
          </w:p>
        </w:tc>
        <w:tc>
          <w:tcPr>
            <w:tcW w:w="1324" w:type="dxa"/>
            <w:tcBorders>
              <w:right w:val="single" w:sz="4" w:space="0" w:color="auto"/>
            </w:tcBorders>
          </w:tcPr>
          <w:p w14:paraId="0762226D" w14:textId="643A4537"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$948.2</w:t>
            </w:r>
          </w:p>
        </w:tc>
      </w:tr>
      <w:tr w:rsidR="00F67360" w:rsidRPr="009B5851" w14:paraId="09EEA608" w14:textId="77777777" w:rsidTr="00495990">
        <w:trPr>
          <w:trHeight w:val="301"/>
        </w:trPr>
        <w:tc>
          <w:tcPr>
            <w:tcW w:w="3597" w:type="dxa"/>
            <w:tcBorders>
              <w:left w:val="single" w:sz="4" w:space="0" w:color="auto"/>
              <w:bottom w:val="single" w:sz="4" w:space="0" w:color="auto"/>
            </w:tcBorders>
          </w:tcPr>
          <w:p w14:paraId="6129E0CC" w14:textId="77777777" w:rsidR="00F67360" w:rsidRPr="009B5851" w:rsidRDefault="00F67360" w:rsidP="00F67360">
            <w:pPr>
              <w:autoSpaceDE w:val="0"/>
              <w:autoSpaceDN w:val="0"/>
              <w:adjustRightInd w:val="0"/>
              <w:spacing w:after="0"/>
              <w:rPr>
                <w:rFonts w:ascii="Calibri" w:hAnsi="Calibri" w:cs="Calibri"/>
                <w:color w:val="000000"/>
                <w:sz w:val="20"/>
              </w:rPr>
            </w:pPr>
            <w:r w:rsidRPr="009B5851">
              <w:rPr>
                <w:rFonts w:ascii="Calibri" w:hAnsi="Calibri" w:cs="Calibri"/>
                <w:color w:val="000000"/>
                <w:sz w:val="20"/>
              </w:rPr>
              <w:t>Payroll (millions of dollars)</w:t>
            </w:r>
          </w:p>
        </w:tc>
        <w:tc>
          <w:tcPr>
            <w:tcW w:w="1418" w:type="dxa"/>
            <w:tcBorders>
              <w:bottom w:val="single" w:sz="4" w:space="0" w:color="auto"/>
            </w:tcBorders>
          </w:tcPr>
          <w:p w14:paraId="1EA1D923" w14:textId="4701BA2A"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$102.0</w:t>
            </w:r>
          </w:p>
        </w:tc>
        <w:tc>
          <w:tcPr>
            <w:tcW w:w="1702" w:type="dxa"/>
            <w:tcBorders>
              <w:bottom w:val="single" w:sz="4" w:space="0" w:color="auto"/>
            </w:tcBorders>
          </w:tcPr>
          <w:p w14:paraId="4213E430" w14:textId="1677BD03"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$159.8</w:t>
            </w:r>
          </w:p>
        </w:tc>
        <w:tc>
          <w:tcPr>
            <w:tcW w:w="1513" w:type="dxa"/>
            <w:tcBorders>
              <w:bottom w:val="single" w:sz="4" w:space="0" w:color="auto"/>
            </w:tcBorders>
          </w:tcPr>
          <w:p w14:paraId="1025E26D" w14:textId="745E0E33"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$73.1</w:t>
            </w:r>
          </w:p>
        </w:tc>
        <w:tc>
          <w:tcPr>
            <w:tcW w:w="1324" w:type="dxa"/>
            <w:tcBorders>
              <w:bottom w:val="single" w:sz="4" w:space="0" w:color="auto"/>
              <w:right w:val="single" w:sz="4" w:space="0" w:color="auto"/>
            </w:tcBorders>
          </w:tcPr>
          <w:p w14:paraId="186C3309" w14:textId="43269E8F" w:rsidR="00F67360" w:rsidRPr="0015633D" w:rsidRDefault="00F67360" w:rsidP="00C153C3">
            <w:pPr>
              <w:autoSpaceDE w:val="0"/>
              <w:autoSpaceDN w:val="0"/>
              <w:adjustRightInd w:val="0"/>
              <w:spacing w:after="0" w:line="240" w:lineRule="auto"/>
              <w:jc w:val="center"/>
              <w:rPr>
                <w:rFonts w:ascii="Calibri" w:hAnsi="Calibri" w:cs="Calibri"/>
                <w:color w:val="000000"/>
                <w:sz w:val="20"/>
                <w:szCs w:val="20"/>
              </w:rPr>
            </w:pPr>
            <w:r w:rsidRPr="0015633D">
              <w:rPr>
                <w:rFonts w:ascii="Calibri" w:hAnsi="Calibri" w:cs="Calibri"/>
                <w:color w:val="000000"/>
                <w:sz w:val="20"/>
                <w:szCs w:val="20"/>
              </w:rPr>
              <w:t>$334.9</w:t>
            </w:r>
          </w:p>
        </w:tc>
      </w:tr>
    </w:tbl>
    <w:p w14:paraId="23643881" w14:textId="77777777" w:rsidR="00916F19" w:rsidRDefault="00916F19" w:rsidP="00916F19">
      <w:pPr>
        <w:spacing w:after="0"/>
        <w:jc w:val="both"/>
        <w:rPr>
          <w:sz w:val="18"/>
          <w:szCs w:val="18"/>
        </w:rPr>
      </w:pPr>
      <w:r w:rsidRPr="009B5851">
        <w:rPr>
          <w:sz w:val="18"/>
          <w:szCs w:val="18"/>
        </w:rPr>
        <w:t>*Gross State Product (</w:t>
      </w:r>
      <w:r w:rsidRPr="009B5851">
        <w:rPr>
          <w:noProof/>
          <w:sz w:val="18"/>
          <w:szCs w:val="18"/>
        </w:rPr>
        <w:t>also called</w:t>
      </w:r>
      <w:r w:rsidRPr="009B5851">
        <w:rPr>
          <w:sz w:val="18"/>
          <w:szCs w:val="18"/>
        </w:rPr>
        <w:t xml:space="preserve"> value-added), describes how income </w:t>
      </w:r>
      <w:r w:rsidRPr="009B5851">
        <w:rPr>
          <w:noProof/>
          <w:sz w:val="18"/>
          <w:szCs w:val="18"/>
        </w:rPr>
        <w:t>is distributed</w:t>
      </w:r>
      <w:r w:rsidRPr="009B5851">
        <w:rPr>
          <w:sz w:val="18"/>
          <w:szCs w:val="18"/>
        </w:rPr>
        <w:t xml:space="preserve"> among different categories: employee</w:t>
      </w:r>
      <w:r w:rsidRPr="00F12ACA">
        <w:rPr>
          <w:sz w:val="18"/>
          <w:szCs w:val="18"/>
        </w:rPr>
        <w:t xml:space="preserve"> compensation, other property income (like profits, interest income, dividends, among others)</w:t>
      </w:r>
      <w:r>
        <w:rPr>
          <w:sz w:val="18"/>
          <w:szCs w:val="18"/>
        </w:rPr>
        <w:t>,</w:t>
      </w:r>
      <w:r w:rsidRPr="00F12ACA">
        <w:rPr>
          <w:sz w:val="18"/>
          <w:szCs w:val="18"/>
        </w:rPr>
        <w:t xml:space="preserve"> and the tax on production and imports (particularly sales taxes at the State level). </w:t>
      </w:r>
      <w:r w:rsidRPr="00F12ACA">
        <w:rPr>
          <w:rStyle w:val="FootnoteReference"/>
          <w:sz w:val="18"/>
          <w:szCs w:val="18"/>
        </w:rPr>
        <w:footnoteReference w:id="2"/>
      </w:r>
    </w:p>
    <w:p w14:paraId="56D87E29" w14:textId="6ACB95E6" w:rsidR="00916F19" w:rsidRPr="00F011A5" w:rsidRDefault="00916F19" w:rsidP="00916F19">
      <w:pPr>
        <w:spacing w:after="0"/>
        <w:jc w:val="both"/>
        <w:rPr>
          <w:sz w:val="18"/>
          <w:szCs w:val="18"/>
        </w:rPr>
      </w:pPr>
      <w:r>
        <w:rPr>
          <w:sz w:val="18"/>
          <w:szCs w:val="18"/>
        </w:rPr>
        <w:t xml:space="preserve">Source: IMPLAN </w:t>
      </w:r>
      <w:r w:rsidR="0086740D">
        <w:rPr>
          <w:sz w:val="18"/>
          <w:szCs w:val="18"/>
        </w:rPr>
        <w:t>online platform</w:t>
      </w:r>
      <w:r>
        <w:rPr>
          <w:sz w:val="18"/>
          <w:szCs w:val="18"/>
        </w:rPr>
        <w:t>.</w:t>
      </w:r>
      <w:r w:rsidR="005B0CCE">
        <w:rPr>
          <w:rStyle w:val="FootnoteReference"/>
          <w:sz w:val="18"/>
          <w:szCs w:val="18"/>
        </w:rPr>
        <w:footnoteReference w:id="3"/>
      </w:r>
      <w:r>
        <w:rPr>
          <w:sz w:val="18"/>
          <w:szCs w:val="18"/>
        </w:rPr>
        <w:t xml:space="preserve"> Elaboration: J. Oyakawa</w:t>
      </w:r>
    </w:p>
    <w:p w14:paraId="4A6CC7CE" w14:textId="77777777" w:rsidR="00916F19" w:rsidRPr="00F12ACA" w:rsidRDefault="00916F19" w:rsidP="00916F19">
      <w:pPr>
        <w:spacing w:after="0"/>
        <w:jc w:val="both"/>
        <w:rPr>
          <w:sz w:val="18"/>
          <w:szCs w:val="18"/>
        </w:rPr>
      </w:pPr>
    </w:p>
    <w:p w14:paraId="4A3A0CAB" w14:textId="77777777" w:rsidR="00916F19" w:rsidRDefault="00916F19" w:rsidP="00916F19">
      <w:pPr>
        <w:pStyle w:val="Heading3"/>
        <w:spacing w:before="0"/>
      </w:pPr>
      <w:r w:rsidRPr="002B6AD1">
        <w:t>Total Output</w:t>
      </w:r>
    </w:p>
    <w:p w14:paraId="3004C600" w14:textId="77777777" w:rsidR="00916F19" w:rsidRPr="002B6AD1" w:rsidRDefault="00916F19" w:rsidP="00916F19">
      <w:pPr>
        <w:spacing w:after="0"/>
      </w:pPr>
    </w:p>
    <w:p w14:paraId="422CCB96" w14:textId="22BAB018" w:rsidR="00916F19" w:rsidRDefault="00916F19" w:rsidP="00916F19">
      <w:pPr>
        <w:spacing w:after="0"/>
        <w:jc w:val="both"/>
      </w:pPr>
      <w:r>
        <w:t xml:space="preserve">Total output (revenues) contributions can be analyzed to get a better understanding of the industries’ effects in the region. The two industries under analysis are distilleries (NAICS 312140, excludes brandies) and wineries (NAICS 312130, for the production of brandy). </w:t>
      </w:r>
    </w:p>
    <w:p w14:paraId="4B8B0E50" w14:textId="77777777" w:rsidR="00916F19" w:rsidRDefault="00916F19" w:rsidP="00916F19">
      <w:pPr>
        <w:spacing w:after="0"/>
        <w:jc w:val="both"/>
      </w:pPr>
    </w:p>
    <w:p w14:paraId="30B0DE38" w14:textId="77777777" w:rsidR="00916F19" w:rsidRPr="00091E73" w:rsidRDefault="00916F19" w:rsidP="00916F19">
      <w:pPr>
        <w:jc w:val="both"/>
      </w:pPr>
      <w:r>
        <w:t>Output contributions are the most common indicator used in contribution studies</w:t>
      </w:r>
      <w:r w:rsidR="0036032A">
        <w:t>,</w:t>
      </w:r>
      <w:r>
        <w:t xml:space="preserve"> even though they are not the most precise measurement of economic activity. </w:t>
      </w:r>
      <w:r>
        <w:rPr>
          <w:rStyle w:val="FootnoteReference"/>
        </w:rPr>
        <w:footnoteReference w:id="4"/>
      </w:r>
      <w:r>
        <w:t xml:space="preserve"> For manufacturing, these contributions measure sales plus/minus changes in inventory: “</w:t>
      </w:r>
      <w:r w:rsidRPr="00091E73">
        <w:t xml:space="preserve">For industries that do hold </w:t>
      </w:r>
      <w:r w:rsidRPr="00091E73">
        <w:lastRenderedPageBreak/>
        <w:t>inventory, output equals revenues less any net change in invent</w:t>
      </w:r>
      <w:r>
        <w:t>ory (additions to inventory minus</w:t>
      </w:r>
      <w:r w:rsidRPr="00091E73">
        <w:t xml:space="preserve"> sales out of inventory); for these industries, it is possible for a year’s sales to exceed that year’s value of production, if some of those sales came out of inventory (a previous year’s production); in I-O models, what matters is the value of production that occurred in a year, since production is what drives the purchases of inputs.  Sales of items that have been sitting in inventory do not generate indirect and induced </w:t>
      </w:r>
      <w:r>
        <w:t>contribution</w:t>
      </w:r>
      <w:r w:rsidRPr="00091E73">
        <w:t xml:space="preserve">s this year since they were produced in a previous year; thus, we don’t want to count them as part of this year’s output, else we’d overstate the indirect and induced </w:t>
      </w:r>
      <w:r>
        <w:t>impacts</w:t>
      </w:r>
      <w:r w:rsidRPr="00091E73">
        <w:t>.</w:t>
      </w:r>
      <w:r>
        <w:t xml:space="preserve">” </w:t>
      </w:r>
      <w:r>
        <w:rPr>
          <w:rStyle w:val="FootnoteReference"/>
        </w:rPr>
        <w:footnoteReference w:id="5"/>
      </w:r>
    </w:p>
    <w:p w14:paraId="0C49C4F1" w14:textId="77777777" w:rsidR="009B5851" w:rsidRDefault="009B5851" w:rsidP="00916F19">
      <w:pPr>
        <w:spacing w:after="0"/>
      </w:pPr>
    </w:p>
    <w:tbl>
      <w:tblPr>
        <w:tblW w:w="9461" w:type="dxa"/>
        <w:tblInd w:w="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52"/>
        <w:gridCol w:w="1809"/>
      </w:tblGrid>
      <w:tr w:rsidR="00916F19" w:rsidRPr="00700321" w14:paraId="19B5BC89" w14:textId="77777777" w:rsidTr="00D13A8E">
        <w:trPr>
          <w:trHeight w:val="575"/>
        </w:trPr>
        <w:tc>
          <w:tcPr>
            <w:tcW w:w="7652" w:type="dxa"/>
            <w:tcBorders>
              <w:top w:val="single" w:sz="4" w:space="0" w:color="auto"/>
              <w:left w:val="single" w:sz="4" w:space="0" w:color="auto"/>
              <w:bottom w:val="single" w:sz="4" w:space="0" w:color="auto"/>
            </w:tcBorders>
            <w:shd w:val="solid" w:color="C0C0C0" w:fill="auto"/>
          </w:tcPr>
          <w:p w14:paraId="051506AE" w14:textId="51FA689D" w:rsidR="00916F19" w:rsidRPr="009B5851" w:rsidRDefault="00916F19" w:rsidP="00E01916">
            <w:pPr>
              <w:autoSpaceDE w:val="0"/>
              <w:autoSpaceDN w:val="0"/>
              <w:adjustRightInd w:val="0"/>
              <w:spacing w:after="0"/>
              <w:jc w:val="center"/>
              <w:rPr>
                <w:rFonts w:ascii="Calibri" w:hAnsi="Calibri" w:cs="Calibri"/>
                <w:b/>
                <w:bCs/>
                <w:color w:val="000000"/>
              </w:rPr>
            </w:pPr>
            <w:r w:rsidRPr="009B5851">
              <w:rPr>
                <w:rFonts w:ascii="Calibri" w:hAnsi="Calibri" w:cs="Calibri"/>
                <w:b/>
                <w:bCs/>
                <w:color w:val="000000"/>
              </w:rPr>
              <w:t>Output: Industries Impacted by Distillers</w:t>
            </w:r>
            <w:r w:rsidR="00FF0441" w:rsidRPr="009B5851">
              <w:rPr>
                <w:rFonts w:ascii="Calibri" w:hAnsi="Calibri" w:cs="Calibri"/>
                <w:b/>
                <w:bCs/>
                <w:color w:val="000000"/>
              </w:rPr>
              <w:t xml:space="preserve"> in 20</w:t>
            </w:r>
            <w:r w:rsidR="00157EDD">
              <w:rPr>
                <w:rFonts w:ascii="Calibri" w:hAnsi="Calibri" w:cs="Calibri"/>
                <w:b/>
                <w:bCs/>
                <w:color w:val="000000"/>
              </w:rPr>
              <w:t>20</w:t>
            </w:r>
          </w:p>
          <w:p w14:paraId="12ADEC5F" w14:textId="77777777" w:rsidR="00916F19" w:rsidRPr="009B5851" w:rsidRDefault="00916F19" w:rsidP="00E01916">
            <w:pPr>
              <w:autoSpaceDE w:val="0"/>
              <w:autoSpaceDN w:val="0"/>
              <w:adjustRightInd w:val="0"/>
              <w:spacing w:after="0"/>
              <w:jc w:val="center"/>
              <w:rPr>
                <w:rFonts w:ascii="Calibri" w:hAnsi="Calibri" w:cs="Calibri"/>
                <w:b/>
                <w:bCs/>
                <w:color w:val="000000"/>
              </w:rPr>
            </w:pPr>
            <w:r w:rsidRPr="009B5851">
              <w:rPr>
                <w:rFonts w:ascii="Calibri" w:hAnsi="Calibri" w:cs="Calibri"/>
                <w:b/>
                <w:bCs/>
                <w:color w:val="000000"/>
              </w:rPr>
              <w:t>(Total Contributions)</w:t>
            </w:r>
          </w:p>
          <w:p w14:paraId="3551C3F7" w14:textId="77777777" w:rsidR="00916F19" w:rsidRPr="009B5851" w:rsidRDefault="00916F19" w:rsidP="00E01916">
            <w:pPr>
              <w:autoSpaceDE w:val="0"/>
              <w:autoSpaceDN w:val="0"/>
              <w:adjustRightInd w:val="0"/>
              <w:spacing w:after="0"/>
              <w:jc w:val="center"/>
              <w:rPr>
                <w:rFonts w:ascii="Calibri" w:hAnsi="Calibri" w:cs="Calibri"/>
                <w:b/>
                <w:bCs/>
                <w:color w:val="000000"/>
              </w:rPr>
            </w:pPr>
            <w:r w:rsidRPr="009B5851">
              <w:rPr>
                <w:rFonts w:ascii="Calibri" w:hAnsi="Calibri" w:cs="Calibri"/>
                <w:b/>
                <w:bCs/>
                <w:color w:val="000000"/>
              </w:rPr>
              <w:t>In Millions of Dollars</w:t>
            </w:r>
          </w:p>
        </w:tc>
        <w:tc>
          <w:tcPr>
            <w:tcW w:w="1809" w:type="dxa"/>
            <w:tcBorders>
              <w:top w:val="single" w:sz="4" w:space="0" w:color="auto"/>
              <w:bottom w:val="single" w:sz="4" w:space="0" w:color="auto"/>
              <w:right w:val="single" w:sz="4" w:space="0" w:color="auto"/>
            </w:tcBorders>
            <w:shd w:val="solid" w:color="C0C0C0" w:fill="auto"/>
          </w:tcPr>
          <w:p w14:paraId="1CD7B133" w14:textId="77777777" w:rsidR="00916F19" w:rsidRPr="009B5851" w:rsidRDefault="00916F19" w:rsidP="00E01916">
            <w:pPr>
              <w:autoSpaceDE w:val="0"/>
              <w:autoSpaceDN w:val="0"/>
              <w:adjustRightInd w:val="0"/>
              <w:spacing w:after="0"/>
              <w:jc w:val="center"/>
              <w:rPr>
                <w:rFonts w:ascii="Calibri" w:hAnsi="Calibri" w:cs="Calibri"/>
                <w:b/>
                <w:bCs/>
                <w:color w:val="000000"/>
              </w:rPr>
            </w:pPr>
            <w:r w:rsidRPr="009B5851">
              <w:rPr>
                <w:rFonts w:ascii="Calibri" w:hAnsi="Calibri" w:cs="Calibri"/>
                <w:b/>
                <w:bCs/>
                <w:color w:val="000000"/>
              </w:rPr>
              <w:t>Total Contributions  Output</w:t>
            </w:r>
          </w:p>
        </w:tc>
      </w:tr>
      <w:tr w:rsidR="00374EEC" w:rsidRPr="00700321" w14:paraId="570F9C5D" w14:textId="77777777" w:rsidTr="00D13A8E">
        <w:trPr>
          <w:trHeight w:val="287"/>
        </w:trPr>
        <w:tc>
          <w:tcPr>
            <w:tcW w:w="7652" w:type="dxa"/>
            <w:tcBorders>
              <w:top w:val="single" w:sz="4" w:space="0" w:color="auto"/>
              <w:left w:val="single" w:sz="4" w:space="0" w:color="auto"/>
              <w:right w:val="single" w:sz="4" w:space="0" w:color="auto"/>
            </w:tcBorders>
          </w:tcPr>
          <w:p w14:paraId="6C0E806D" w14:textId="73E75956"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Distilleries</w:t>
            </w:r>
          </w:p>
        </w:tc>
        <w:tc>
          <w:tcPr>
            <w:tcW w:w="1809" w:type="dxa"/>
            <w:tcBorders>
              <w:top w:val="single" w:sz="4" w:space="0" w:color="auto"/>
              <w:left w:val="single" w:sz="4" w:space="0" w:color="auto"/>
              <w:bottom w:val="nil"/>
              <w:right w:val="single" w:sz="4" w:space="0" w:color="auto"/>
            </w:tcBorders>
          </w:tcPr>
          <w:p w14:paraId="0361B955" w14:textId="7CEADDAE"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$1,282.8</w:t>
            </w:r>
          </w:p>
        </w:tc>
      </w:tr>
      <w:tr w:rsidR="00374EEC" w:rsidRPr="00700321" w14:paraId="44E5F60C" w14:textId="77777777" w:rsidTr="00D13A8E">
        <w:trPr>
          <w:trHeight w:val="287"/>
        </w:trPr>
        <w:tc>
          <w:tcPr>
            <w:tcW w:w="7652" w:type="dxa"/>
            <w:tcBorders>
              <w:left w:val="single" w:sz="4" w:space="0" w:color="auto"/>
              <w:right w:val="single" w:sz="4" w:space="0" w:color="auto"/>
            </w:tcBorders>
          </w:tcPr>
          <w:p w14:paraId="0CEE7541" w14:textId="1EF0E004"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Wholesale - Other nondurable goods merchant wholesalers</w:t>
            </w:r>
          </w:p>
        </w:tc>
        <w:tc>
          <w:tcPr>
            <w:tcW w:w="1809" w:type="dxa"/>
            <w:tcBorders>
              <w:top w:val="nil"/>
              <w:left w:val="single" w:sz="4" w:space="0" w:color="auto"/>
              <w:bottom w:val="nil"/>
              <w:right w:val="single" w:sz="4" w:space="0" w:color="auto"/>
            </w:tcBorders>
          </w:tcPr>
          <w:p w14:paraId="3314ED72" w14:textId="2CA6EBC7"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$108.9</w:t>
            </w:r>
          </w:p>
        </w:tc>
      </w:tr>
      <w:tr w:rsidR="00374EEC" w:rsidRPr="00700321" w14:paraId="1D410B9A" w14:textId="77777777" w:rsidTr="00D13A8E">
        <w:trPr>
          <w:trHeight w:val="287"/>
        </w:trPr>
        <w:tc>
          <w:tcPr>
            <w:tcW w:w="7652" w:type="dxa"/>
            <w:tcBorders>
              <w:left w:val="single" w:sz="4" w:space="0" w:color="auto"/>
              <w:right w:val="single" w:sz="4" w:space="0" w:color="auto"/>
            </w:tcBorders>
          </w:tcPr>
          <w:p w14:paraId="451CF6B6" w14:textId="69BA01CC"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Wholesale - Machinery, equipment, and supplies</w:t>
            </w:r>
          </w:p>
        </w:tc>
        <w:tc>
          <w:tcPr>
            <w:tcW w:w="1809" w:type="dxa"/>
            <w:tcBorders>
              <w:top w:val="nil"/>
              <w:left w:val="single" w:sz="4" w:space="0" w:color="auto"/>
              <w:bottom w:val="nil"/>
              <w:right w:val="single" w:sz="4" w:space="0" w:color="auto"/>
            </w:tcBorders>
          </w:tcPr>
          <w:p w14:paraId="0331817B" w14:textId="01787A41"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$44.4</w:t>
            </w:r>
          </w:p>
        </w:tc>
      </w:tr>
      <w:tr w:rsidR="00374EEC" w:rsidRPr="009B5851" w14:paraId="1183B95C" w14:textId="77777777" w:rsidTr="00D13A8E">
        <w:trPr>
          <w:trHeight w:val="287"/>
        </w:trPr>
        <w:tc>
          <w:tcPr>
            <w:tcW w:w="7652" w:type="dxa"/>
            <w:tcBorders>
              <w:left w:val="single" w:sz="4" w:space="0" w:color="auto"/>
              <w:right w:val="single" w:sz="4" w:space="0" w:color="auto"/>
            </w:tcBorders>
          </w:tcPr>
          <w:p w14:paraId="6366C419" w14:textId="66427F8E"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Other real estate</w:t>
            </w:r>
          </w:p>
        </w:tc>
        <w:tc>
          <w:tcPr>
            <w:tcW w:w="1809" w:type="dxa"/>
            <w:tcBorders>
              <w:top w:val="nil"/>
              <w:left w:val="single" w:sz="4" w:space="0" w:color="auto"/>
              <w:bottom w:val="nil"/>
              <w:right w:val="single" w:sz="4" w:space="0" w:color="auto"/>
            </w:tcBorders>
          </w:tcPr>
          <w:p w14:paraId="787DE9EA" w14:textId="2AA81A22"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$28.9</w:t>
            </w:r>
          </w:p>
        </w:tc>
      </w:tr>
      <w:tr w:rsidR="00374EEC" w:rsidRPr="009B5851" w14:paraId="43678D10" w14:textId="77777777" w:rsidTr="00D13A8E">
        <w:trPr>
          <w:trHeight w:val="287"/>
        </w:trPr>
        <w:tc>
          <w:tcPr>
            <w:tcW w:w="7652" w:type="dxa"/>
            <w:tcBorders>
              <w:left w:val="single" w:sz="4" w:space="0" w:color="auto"/>
              <w:right w:val="single" w:sz="4" w:space="0" w:color="auto"/>
            </w:tcBorders>
          </w:tcPr>
          <w:p w14:paraId="056AC1F0" w14:textId="193DA2C7"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Glass container manufacturing</w:t>
            </w:r>
          </w:p>
        </w:tc>
        <w:tc>
          <w:tcPr>
            <w:tcW w:w="1809" w:type="dxa"/>
            <w:tcBorders>
              <w:top w:val="nil"/>
              <w:left w:val="single" w:sz="4" w:space="0" w:color="auto"/>
              <w:bottom w:val="nil"/>
              <w:right w:val="single" w:sz="4" w:space="0" w:color="auto"/>
            </w:tcBorders>
          </w:tcPr>
          <w:p w14:paraId="6B9EBA8C" w14:textId="7B9AA03E"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$28.3</w:t>
            </w:r>
          </w:p>
        </w:tc>
      </w:tr>
      <w:tr w:rsidR="00374EEC" w:rsidRPr="009B5851" w14:paraId="7FDDE6F3" w14:textId="77777777" w:rsidTr="00D13A8E">
        <w:trPr>
          <w:trHeight w:val="287"/>
        </w:trPr>
        <w:tc>
          <w:tcPr>
            <w:tcW w:w="7652" w:type="dxa"/>
            <w:tcBorders>
              <w:left w:val="single" w:sz="4" w:space="0" w:color="auto"/>
              <w:right w:val="single" w:sz="4" w:space="0" w:color="auto"/>
            </w:tcBorders>
          </w:tcPr>
          <w:p w14:paraId="769B708E" w14:textId="524FDB26"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Truck transportation</w:t>
            </w:r>
          </w:p>
        </w:tc>
        <w:tc>
          <w:tcPr>
            <w:tcW w:w="1809" w:type="dxa"/>
            <w:tcBorders>
              <w:top w:val="nil"/>
              <w:left w:val="single" w:sz="4" w:space="0" w:color="auto"/>
              <w:bottom w:val="nil"/>
              <w:right w:val="single" w:sz="4" w:space="0" w:color="auto"/>
            </w:tcBorders>
          </w:tcPr>
          <w:p w14:paraId="4439FE4F" w14:textId="2D616C8B"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$28.2</w:t>
            </w:r>
          </w:p>
        </w:tc>
      </w:tr>
      <w:tr w:rsidR="00374EEC" w:rsidRPr="009B5851" w14:paraId="3BE171F0" w14:textId="77777777" w:rsidTr="00D13A8E">
        <w:trPr>
          <w:trHeight w:val="287"/>
        </w:trPr>
        <w:tc>
          <w:tcPr>
            <w:tcW w:w="7652" w:type="dxa"/>
            <w:tcBorders>
              <w:left w:val="single" w:sz="4" w:space="0" w:color="auto"/>
              <w:right w:val="single" w:sz="4" w:space="0" w:color="auto"/>
            </w:tcBorders>
          </w:tcPr>
          <w:p w14:paraId="7EF1F8B3" w14:textId="174A0397"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Wineries</w:t>
            </w:r>
          </w:p>
        </w:tc>
        <w:tc>
          <w:tcPr>
            <w:tcW w:w="1809" w:type="dxa"/>
            <w:tcBorders>
              <w:top w:val="nil"/>
              <w:left w:val="single" w:sz="4" w:space="0" w:color="auto"/>
              <w:bottom w:val="nil"/>
              <w:right w:val="single" w:sz="4" w:space="0" w:color="auto"/>
            </w:tcBorders>
          </w:tcPr>
          <w:p w14:paraId="23DEF81F" w14:textId="62B14B68"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$23.9</w:t>
            </w:r>
          </w:p>
        </w:tc>
      </w:tr>
      <w:tr w:rsidR="00374EEC" w:rsidRPr="009B5851" w14:paraId="1E341A8A" w14:textId="77777777" w:rsidTr="00D13A8E">
        <w:trPr>
          <w:trHeight w:val="287"/>
        </w:trPr>
        <w:tc>
          <w:tcPr>
            <w:tcW w:w="7652" w:type="dxa"/>
            <w:tcBorders>
              <w:left w:val="single" w:sz="4" w:space="0" w:color="auto"/>
              <w:right w:val="single" w:sz="4" w:space="0" w:color="auto"/>
            </w:tcBorders>
          </w:tcPr>
          <w:p w14:paraId="52DCD243" w14:textId="072371CB"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Owner-occupied dwellings</w:t>
            </w:r>
          </w:p>
        </w:tc>
        <w:tc>
          <w:tcPr>
            <w:tcW w:w="1809" w:type="dxa"/>
            <w:tcBorders>
              <w:top w:val="nil"/>
              <w:left w:val="single" w:sz="4" w:space="0" w:color="auto"/>
              <w:bottom w:val="nil"/>
              <w:right w:val="single" w:sz="4" w:space="0" w:color="auto"/>
            </w:tcBorders>
          </w:tcPr>
          <w:p w14:paraId="7C7B3884" w14:textId="76E4BDFE"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$22.4</w:t>
            </w:r>
          </w:p>
        </w:tc>
      </w:tr>
      <w:tr w:rsidR="00374EEC" w:rsidRPr="009B5851" w14:paraId="0FED9D2D" w14:textId="77777777" w:rsidTr="00D13A8E">
        <w:trPr>
          <w:trHeight w:val="287"/>
        </w:trPr>
        <w:tc>
          <w:tcPr>
            <w:tcW w:w="7652" w:type="dxa"/>
            <w:tcBorders>
              <w:left w:val="single" w:sz="4" w:space="0" w:color="auto"/>
              <w:right w:val="single" w:sz="4" w:space="0" w:color="auto"/>
            </w:tcBorders>
          </w:tcPr>
          <w:p w14:paraId="4FEAD9E7" w14:textId="4DA049E5"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Marketing related industries</w:t>
            </w:r>
          </w:p>
        </w:tc>
        <w:tc>
          <w:tcPr>
            <w:tcW w:w="1809" w:type="dxa"/>
            <w:tcBorders>
              <w:top w:val="nil"/>
              <w:left w:val="single" w:sz="4" w:space="0" w:color="auto"/>
              <w:bottom w:val="nil"/>
              <w:right w:val="single" w:sz="4" w:space="0" w:color="auto"/>
            </w:tcBorders>
          </w:tcPr>
          <w:p w14:paraId="7FB64E7A" w14:textId="3A961CFC"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$21.3</w:t>
            </w:r>
          </w:p>
        </w:tc>
      </w:tr>
      <w:tr w:rsidR="00374EEC" w:rsidRPr="009B5851" w14:paraId="6D04CA75" w14:textId="77777777" w:rsidTr="00D13A8E">
        <w:trPr>
          <w:trHeight w:val="287"/>
        </w:trPr>
        <w:tc>
          <w:tcPr>
            <w:tcW w:w="7652" w:type="dxa"/>
            <w:tcBorders>
              <w:left w:val="single" w:sz="4" w:space="0" w:color="auto"/>
              <w:right w:val="single" w:sz="4" w:space="0" w:color="auto"/>
            </w:tcBorders>
          </w:tcPr>
          <w:p w14:paraId="29B38EC2" w14:textId="36298E94"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Management of companies and enterprises</w:t>
            </w:r>
          </w:p>
        </w:tc>
        <w:tc>
          <w:tcPr>
            <w:tcW w:w="1809" w:type="dxa"/>
            <w:tcBorders>
              <w:top w:val="nil"/>
              <w:left w:val="single" w:sz="4" w:space="0" w:color="auto"/>
              <w:bottom w:val="nil"/>
              <w:right w:val="single" w:sz="4" w:space="0" w:color="auto"/>
            </w:tcBorders>
          </w:tcPr>
          <w:p w14:paraId="68785FEC" w14:textId="4E10CF7E"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$20.5</w:t>
            </w:r>
          </w:p>
        </w:tc>
      </w:tr>
      <w:tr w:rsidR="00374EEC" w:rsidRPr="009B5851" w14:paraId="0F68E347" w14:textId="77777777" w:rsidTr="00D13A8E">
        <w:trPr>
          <w:trHeight w:val="287"/>
        </w:trPr>
        <w:tc>
          <w:tcPr>
            <w:tcW w:w="7652" w:type="dxa"/>
            <w:tcBorders>
              <w:left w:val="single" w:sz="4" w:space="0" w:color="auto"/>
              <w:right w:val="single" w:sz="4" w:space="0" w:color="auto"/>
            </w:tcBorders>
          </w:tcPr>
          <w:p w14:paraId="6BD7CFA8" w14:textId="50840DEE"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Insurance agencies, brokerages, and related activities</w:t>
            </w:r>
          </w:p>
        </w:tc>
        <w:tc>
          <w:tcPr>
            <w:tcW w:w="1809" w:type="dxa"/>
            <w:tcBorders>
              <w:top w:val="nil"/>
              <w:left w:val="single" w:sz="4" w:space="0" w:color="auto"/>
              <w:bottom w:val="nil"/>
              <w:right w:val="single" w:sz="4" w:space="0" w:color="auto"/>
            </w:tcBorders>
          </w:tcPr>
          <w:p w14:paraId="51464243" w14:textId="19916DE3"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$19.6</w:t>
            </w:r>
          </w:p>
        </w:tc>
      </w:tr>
      <w:tr w:rsidR="00374EEC" w:rsidRPr="009B5851" w14:paraId="38FCD04A" w14:textId="77777777" w:rsidTr="00D13A8E">
        <w:trPr>
          <w:trHeight w:val="287"/>
        </w:trPr>
        <w:tc>
          <w:tcPr>
            <w:tcW w:w="7652" w:type="dxa"/>
            <w:tcBorders>
              <w:left w:val="single" w:sz="4" w:space="0" w:color="auto"/>
              <w:right w:val="single" w:sz="4" w:space="0" w:color="auto"/>
            </w:tcBorders>
          </w:tcPr>
          <w:p w14:paraId="45E3D397" w14:textId="2E797989"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Insurance carriers, except direct life</w:t>
            </w:r>
          </w:p>
        </w:tc>
        <w:tc>
          <w:tcPr>
            <w:tcW w:w="1809" w:type="dxa"/>
            <w:tcBorders>
              <w:top w:val="nil"/>
              <w:left w:val="single" w:sz="4" w:space="0" w:color="auto"/>
              <w:bottom w:val="nil"/>
              <w:right w:val="single" w:sz="4" w:space="0" w:color="auto"/>
            </w:tcBorders>
          </w:tcPr>
          <w:p w14:paraId="5039158E" w14:textId="5926A0F8"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$14.6</w:t>
            </w:r>
          </w:p>
        </w:tc>
      </w:tr>
      <w:tr w:rsidR="00374EEC" w:rsidRPr="009B5851" w14:paraId="28FF253E" w14:textId="77777777" w:rsidTr="00D13A8E">
        <w:trPr>
          <w:trHeight w:val="287"/>
        </w:trPr>
        <w:tc>
          <w:tcPr>
            <w:tcW w:w="7652" w:type="dxa"/>
            <w:tcBorders>
              <w:left w:val="single" w:sz="4" w:space="0" w:color="auto"/>
              <w:right w:val="single" w:sz="4" w:space="0" w:color="auto"/>
            </w:tcBorders>
          </w:tcPr>
          <w:p w14:paraId="55CF6958" w14:textId="4E6F0068"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Monetary authorities and depository credit intermediation</w:t>
            </w:r>
          </w:p>
        </w:tc>
        <w:tc>
          <w:tcPr>
            <w:tcW w:w="1809" w:type="dxa"/>
            <w:tcBorders>
              <w:top w:val="nil"/>
              <w:left w:val="single" w:sz="4" w:space="0" w:color="auto"/>
              <w:bottom w:val="nil"/>
              <w:right w:val="single" w:sz="4" w:space="0" w:color="auto"/>
            </w:tcBorders>
          </w:tcPr>
          <w:p w14:paraId="1109333B" w14:textId="35F46E9B"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$13.3</w:t>
            </w:r>
          </w:p>
        </w:tc>
      </w:tr>
      <w:tr w:rsidR="00374EEC" w:rsidRPr="009B5851" w14:paraId="6B1A7176" w14:textId="77777777" w:rsidTr="00D13A8E">
        <w:trPr>
          <w:trHeight w:val="287"/>
        </w:trPr>
        <w:tc>
          <w:tcPr>
            <w:tcW w:w="7652" w:type="dxa"/>
            <w:tcBorders>
              <w:left w:val="single" w:sz="4" w:space="0" w:color="auto"/>
              <w:right w:val="single" w:sz="4" w:space="0" w:color="auto"/>
            </w:tcBorders>
          </w:tcPr>
          <w:p w14:paraId="5F4487F3" w14:textId="007F8763"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Electric power transmission and distribution</w:t>
            </w:r>
          </w:p>
        </w:tc>
        <w:tc>
          <w:tcPr>
            <w:tcW w:w="1809" w:type="dxa"/>
            <w:tcBorders>
              <w:top w:val="nil"/>
              <w:left w:val="single" w:sz="4" w:space="0" w:color="auto"/>
              <w:bottom w:val="nil"/>
              <w:right w:val="single" w:sz="4" w:space="0" w:color="auto"/>
            </w:tcBorders>
          </w:tcPr>
          <w:p w14:paraId="6320599B" w14:textId="6CECEC17"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$10.6</w:t>
            </w:r>
          </w:p>
        </w:tc>
      </w:tr>
      <w:tr w:rsidR="00374EEC" w:rsidRPr="009B5851" w14:paraId="55C9EF6F" w14:textId="77777777" w:rsidTr="00D13A8E">
        <w:trPr>
          <w:trHeight w:val="287"/>
        </w:trPr>
        <w:tc>
          <w:tcPr>
            <w:tcW w:w="7652" w:type="dxa"/>
            <w:tcBorders>
              <w:left w:val="single" w:sz="4" w:space="0" w:color="auto"/>
              <w:right w:val="single" w:sz="4" w:space="0" w:color="auto"/>
            </w:tcBorders>
          </w:tcPr>
          <w:p w14:paraId="46F91C84" w14:textId="3CA753A0"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Employment services</w:t>
            </w:r>
          </w:p>
        </w:tc>
        <w:tc>
          <w:tcPr>
            <w:tcW w:w="1809" w:type="dxa"/>
            <w:tcBorders>
              <w:top w:val="nil"/>
              <w:left w:val="single" w:sz="4" w:space="0" w:color="auto"/>
              <w:bottom w:val="nil"/>
              <w:right w:val="single" w:sz="4" w:space="0" w:color="auto"/>
            </w:tcBorders>
          </w:tcPr>
          <w:p w14:paraId="5DC7D1D6" w14:textId="0429C04B"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$8.4</w:t>
            </w:r>
          </w:p>
        </w:tc>
      </w:tr>
      <w:tr w:rsidR="00374EEC" w:rsidRPr="009B5851" w14:paraId="210D6C5B" w14:textId="77777777" w:rsidTr="00D13A8E">
        <w:trPr>
          <w:trHeight w:val="287"/>
        </w:trPr>
        <w:tc>
          <w:tcPr>
            <w:tcW w:w="7652" w:type="dxa"/>
            <w:tcBorders>
              <w:left w:val="single" w:sz="4" w:space="0" w:color="auto"/>
              <w:right w:val="single" w:sz="4" w:space="0" w:color="auto"/>
            </w:tcBorders>
          </w:tcPr>
          <w:p w14:paraId="3EF3565B" w14:textId="587B3572"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Rail transportation</w:t>
            </w:r>
          </w:p>
        </w:tc>
        <w:tc>
          <w:tcPr>
            <w:tcW w:w="1809" w:type="dxa"/>
            <w:tcBorders>
              <w:top w:val="nil"/>
              <w:left w:val="single" w:sz="4" w:space="0" w:color="auto"/>
              <w:bottom w:val="nil"/>
              <w:right w:val="single" w:sz="4" w:space="0" w:color="auto"/>
            </w:tcBorders>
          </w:tcPr>
          <w:p w14:paraId="1844C384" w14:textId="630B5FBA"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$7.5</w:t>
            </w:r>
          </w:p>
        </w:tc>
      </w:tr>
      <w:tr w:rsidR="00374EEC" w:rsidRPr="009B5851" w14:paraId="71A42DE7" w14:textId="77777777" w:rsidTr="00D13A8E">
        <w:trPr>
          <w:trHeight w:val="287"/>
        </w:trPr>
        <w:tc>
          <w:tcPr>
            <w:tcW w:w="7652" w:type="dxa"/>
            <w:tcBorders>
              <w:left w:val="single" w:sz="4" w:space="0" w:color="auto"/>
              <w:right w:val="single" w:sz="4" w:space="0" w:color="auto"/>
            </w:tcBorders>
          </w:tcPr>
          <w:p w14:paraId="1B02AAE3" w14:textId="12E66659"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Limited-service restaurants</w:t>
            </w:r>
          </w:p>
        </w:tc>
        <w:tc>
          <w:tcPr>
            <w:tcW w:w="1809" w:type="dxa"/>
            <w:tcBorders>
              <w:top w:val="nil"/>
              <w:left w:val="single" w:sz="4" w:space="0" w:color="auto"/>
              <w:bottom w:val="nil"/>
              <w:right w:val="single" w:sz="4" w:space="0" w:color="auto"/>
            </w:tcBorders>
          </w:tcPr>
          <w:p w14:paraId="50629969" w14:textId="5C84225A"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$7.1</w:t>
            </w:r>
          </w:p>
        </w:tc>
      </w:tr>
      <w:tr w:rsidR="00374EEC" w:rsidRPr="009B5851" w14:paraId="0E4E0A4E" w14:textId="77777777" w:rsidTr="00D13A8E">
        <w:trPr>
          <w:trHeight w:val="287"/>
        </w:trPr>
        <w:tc>
          <w:tcPr>
            <w:tcW w:w="7652" w:type="dxa"/>
            <w:tcBorders>
              <w:left w:val="single" w:sz="4" w:space="0" w:color="auto"/>
              <w:right w:val="single" w:sz="4" w:space="0" w:color="auto"/>
            </w:tcBorders>
          </w:tcPr>
          <w:p w14:paraId="4281F22D" w14:textId="6BDF02F9"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Plastics bottle manufacturing</w:t>
            </w:r>
          </w:p>
        </w:tc>
        <w:tc>
          <w:tcPr>
            <w:tcW w:w="1809" w:type="dxa"/>
            <w:tcBorders>
              <w:top w:val="nil"/>
              <w:left w:val="single" w:sz="4" w:space="0" w:color="auto"/>
              <w:bottom w:val="nil"/>
              <w:right w:val="single" w:sz="4" w:space="0" w:color="auto"/>
            </w:tcBorders>
          </w:tcPr>
          <w:p w14:paraId="0E347A8C" w14:textId="46AC607D"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$7.0</w:t>
            </w:r>
          </w:p>
        </w:tc>
      </w:tr>
      <w:tr w:rsidR="00374EEC" w:rsidRPr="009B5851" w14:paraId="137E1840" w14:textId="77777777" w:rsidTr="00D13A8E">
        <w:trPr>
          <w:trHeight w:val="301"/>
        </w:trPr>
        <w:tc>
          <w:tcPr>
            <w:tcW w:w="7652" w:type="dxa"/>
            <w:tcBorders>
              <w:left w:val="single" w:sz="4" w:space="0" w:color="auto"/>
              <w:bottom w:val="single" w:sz="4" w:space="0" w:color="auto"/>
              <w:right w:val="single" w:sz="4" w:space="0" w:color="auto"/>
            </w:tcBorders>
          </w:tcPr>
          <w:p w14:paraId="62EE03B6" w14:textId="20E539C4" w:rsidR="00374EEC" w:rsidRPr="00374EEC" w:rsidRDefault="00374EEC" w:rsidP="00374EEC">
            <w:pPr>
              <w:autoSpaceDE w:val="0"/>
              <w:autoSpaceDN w:val="0"/>
              <w:adjustRightInd w:val="0"/>
              <w:spacing w:after="0" w:line="240" w:lineRule="auto"/>
              <w:rPr>
                <w:rFonts w:ascii="Calibri" w:hAnsi="Calibri" w:cs="Calibri"/>
                <w:color w:val="000000"/>
                <w:sz w:val="20"/>
                <w:szCs w:val="20"/>
              </w:rPr>
            </w:pPr>
            <w:r w:rsidRPr="00374EEC">
              <w:rPr>
                <w:rFonts w:ascii="Calibri" w:hAnsi="Calibri" w:cs="Calibri"/>
                <w:color w:val="000000"/>
                <w:sz w:val="20"/>
                <w:szCs w:val="20"/>
              </w:rPr>
              <w:t>Non</w:t>
            </w:r>
            <w:r w:rsidR="004F64D9">
              <w:rPr>
                <w:rFonts w:ascii="Calibri" w:hAnsi="Calibri" w:cs="Calibri"/>
                <w:color w:val="000000"/>
                <w:sz w:val="20"/>
                <w:szCs w:val="20"/>
              </w:rPr>
              <w:t>-</w:t>
            </w:r>
            <w:r w:rsidRPr="00374EEC">
              <w:rPr>
                <w:rFonts w:ascii="Calibri" w:hAnsi="Calibri" w:cs="Calibri"/>
                <w:color w:val="000000"/>
                <w:sz w:val="20"/>
                <w:szCs w:val="20"/>
              </w:rPr>
              <w:t>depository credit intermediation and related activities</w:t>
            </w:r>
          </w:p>
        </w:tc>
        <w:tc>
          <w:tcPr>
            <w:tcW w:w="1809" w:type="dxa"/>
            <w:tcBorders>
              <w:top w:val="nil"/>
              <w:left w:val="single" w:sz="4" w:space="0" w:color="auto"/>
              <w:bottom w:val="single" w:sz="4" w:space="0" w:color="auto"/>
              <w:right w:val="single" w:sz="4" w:space="0" w:color="auto"/>
            </w:tcBorders>
          </w:tcPr>
          <w:p w14:paraId="601151DB" w14:textId="16C78D2C" w:rsidR="00374EEC" w:rsidRPr="00374EEC" w:rsidRDefault="00374EEC" w:rsidP="00D13A8E">
            <w:pPr>
              <w:autoSpaceDE w:val="0"/>
              <w:autoSpaceDN w:val="0"/>
              <w:adjustRightInd w:val="0"/>
              <w:spacing w:after="0" w:line="240" w:lineRule="auto"/>
              <w:jc w:val="center"/>
              <w:rPr>
                <w:rFonts w:ascii="Calibri" w:hAnsi="Calibri" w:cs="Calibri"/>
                <w:color w:val="000000"/>
                <w:sz w:val="20"/>
                <w:szCs w:val="20"/>
              </w:rPr>
            </w:pPr>
            <w:r w:rsidRPr="00374EEC">
              <w:rPr>
                <w:rFonts w:ascii="Calibri" w:hAnsi="Calibri" w:cs="Calibri"/>
                <w:color w:val="000000"/>
                <w:sz w:val="20"/>
                <w:szCs w:val="20"/>
              </w:rPr>
              <w:t>$6.8</w:t>
            </w:r>
          </w:p>
        </w:tc>
      </w:tr>
    </w:tbl>
    <w:p w14:paraId="677512FC" w14:textId="77777777" w:rsidR="00916F19" w:rsidRPr="009B5851" w:rsidRDefault="00916F19" w:rsidP="00916F19">
      <w:pPr>
        <w:spacing w:after="0"/>
        <w:jc w:val="both"/>
        <w:rPr>
          <w:sz w:val="18"/>
          <w:szCs w:val="18"/>
        </w:rPr>
      </w:pPr>
      <w:r w:rsidRPr="009B5851">
        <w:rPr>
          <w:sz w:val="18"/>
          <w:szCs w:val="18"/>
        </w:rPr>
        <w:t xml:space="preserve">  Source: IMPLAN </w:t>
      </w:r>
      <w:r w:rsidR="0086740D" w:rsidRPr="009B5851">
        <w:rPr>
          <w:sz w:val="18"/>
          <w:szCs w:val="18"/>
        </w:rPr>
        <w:t>online platform</w:t>
      </w:r>
      <w:r w:rsidRPr="009B5851">
        <w:rPr>
          <w:sz w:val="18"/>
          <w:szCs w:val="18"/>
        </w:rPr>
        <w:t>. Elaboration: J. Oyakawa.</w:t>
      </w:r>
    </w:p>
    <w:p w14:paraId="11662F2E" w14:textId="77777777" w:rsidR="00916F19" w:rsidRPr="009B5851" w:rsidRDefault="00916F19" w:rsidP="00916F19">
      <w:pPr>
        <w:spacing w:after="0"/>
        <w:jc w:val="both"/>
        <w:rPr>
          <w:sz w:val="18"/>
          <w:szCs w:val="18"/>
        </w:rPr>
      </w:pPr>
    </w:p>
    <w:p w14:paraId="182CC531" w14:textId="76666E4D" w:rsidR="00916F19" w:rsidRDefault="00916F19" w:rsidP="00916F19">
      <w:pPr>
        <w:pStyle w:val="BodyText"/>
        <w:spacing w:after="160" w:line="259" w:lineRule="auto"/>
        <w:jc w:val="both"/>
      </w:pPr>
      <w:r w:rsidRPr="009B5851">
        <w:rPr>
          <w:rFonts w:asciiTheme="minorHAnsi" w:hAnsiTheme="minorHAnsi"/>
          <w:lang w:bidi="ar-SA"/>
        </w:rPr>
        <w:t>The most impacted industry by distillers is the distilleries industry itself with close to $</w:t>
      </w:r>
      <w:r w:rsidR="00FF0441" w:rsidRPr="009B5851">
        <w:rPr>
          <w:rFonts w:asciiTheme="minorHAnsi" w:hAnsiTheme="minorHAnsi"/>
          <w:lang w:bidi="ar-SA"/>
        </w:rPr>
        <w:t>1,2</w:t>
      </w:r>
      <w:r w:rsidR="00D963C4">
        <w:rPr>
          <w:rFonts w:asciiTheme="minorHAnsi" w:hAnsiTheme="minorHAnsi"/>
          <w:lang w:bidi="ar-SA"/>
        </w:rPr>
        <w:t>82.8</w:t>
      </w:r>
      <w:r w:rsidRPr="009B5851">
        <w:rPr>
          <w:rFonts w:asciiTheme="minorHAnsi" w:hAnsiTheme="minorHAnsi"/>
          <w:lang w:bidi="ar-SA"/>
        </w:rPr>
        <w:t xml:space="preserve"> million, followed by wholesale trade</w:t>
      </w:r>
      <w:r w:rsidR="00FF0441" w:rsidRPr="009B5851">
        <w:rPr>
          <w:rFonts w:asciiTheme="minorHAnsi" w:hAnsiTheme="minorHAnsi"/>
          <w:lang w:bidi="ar-SA"/>
        </w:rPr>
        <w:t xml:space="preserve"> of nondurables</w:t>
      </w:r>
      <w:r w:rsidRPr="009B5851">
        <w:rPr>
          <w:rFonts w:asciiTheme="minorHAnsi" w:hAnsiTheme="minorHAnsi"/>
          <w:lang w:bidi="ar-SA"/>
        </w:rPr>
        <w:t xml:space="preserve"> ($</w:t>
      </w:r>
      <w:r w:rsidR="00D963C4">
        <w:rPr>
          <w:rFonts w:asciiTheme="minorHAnsi" w:hAnsiTheme="minorHAnsi"/>
          <w:lang w:bidi="ar-SA"/>
        </w:rPr>
        <w:t>108.9</w:t>
      </w:r>
      <w:r w:rsidRPr="009B5851">
        <w:rPr>
          <w:rFonts w:asciiTheme="minorHAnsi" w:hAnsiTheme="minorHAnsi"/>
          <w:lang w:bidi="ar-SA"/>
        </w:rPr>
        <w:t xml:space="preserve"> million), </w:t>
      </w:r>
      <w:r w:rsidR="00FF0441" w:rsidRPr="009B5851">
        <w:rPr>
          <w:rFonts w:asciiTheme="minorHAnsi" w:hAnsiTheme="minorHAnsi"/>
          <w:lang w:bidi="ar-SA"/>
        </w:rPr>
        <w:t>wholesale trade of machinery ($</w:t>
      </w:r>
      <w:r w:rsidR="00DE4B3E">
        <w:rPr>
          <w:rFonts w:asciiTheme="minorHAnsi" w:hAnsiTheme="minorHAnsi"/>
          <w:lang w:bidi="ar-SA"/>
        </w:rPr>
        <w:t>44.4</w:t>
      </w:r>
      <w:r w:rsidR="00FF0441" w:rsidRPr="009B5851">
        <w:rPr>
          <w:rFonts w:asciiTheme="minorHAnsi" w:hAnsiTheme="minorHAnsi"/>
          <w:lang w:bidi="ar-SA"/>
        </w:rPr>
        <w:t xml:space="preserve"> million), </w:t>
      </w:r>
      <w:r w:rsidR="00B141BF" w:rsidRPr="009B5851">
        <w:rPr>
          <w:rFonts w:asciiTheme="minorHAnsi" w:hAnsiTheme="minorHAnsi"/>
          <w:lang w:bidi="ar-SA"/>
        </w:rPr>
        <w:t>other real estate ($2</w:t>
      </w:r>
      <w:r w:rsidR="00B141BF">
        <w:rPr>
          <w:rFonts w:asciiTheme="minorHAnsi" w:hAnsiTheme="minorHAnsi"/>
          <w:lang w:bidi="ar-SA"/>
        </w:rPr>
        <w:t>8.9</w:t>
      </w:r>
      <w:r w:rsidR="00B141BF" w:rsidRPr="009B5851">
        <w:rPr>
          <w:rFonts w:asciiTheme="minorHAnsi" w:hAnsiTheme="minorHAnsi"/>
          <w:lang w:bidi="ar-SA"/>
        </w:rPr>
        <w:t xml:space="preserve"> million), </w:t>
      </w:r>
      <w:r w:rsidRPr="009B5851">
        <w:rPr>
          <w:rFonts w:asciiTheme="minorHAnsi" w:hAnsiTheme="minorHAnsi"/>
          <w:lang w:bidi="ar-SA"/>
        </w:rPr>
        <w:t>and glass container manufacturing ($2</w:t>
      </w:r>
      <w:r w:rsidR="000A3D4E">
        <w:rPr>
          <w:rFonts w:asciiTheme="minorHAnsi" w:hAnsiTheme="minorHAnsi"/>
          <w:lang w:bidi="ar-SA"/>
        </w:rPr>
        <w:t>8.3</w:t>
      </w:r>
      <w:r w:rsidRPr="009B5851">
        <w:rPr>
          <w:rFonts w:asciiTheme="minorHAnsi" w:hAnsiTheme="minorHAnsi"/>
          <w:lang w:bidi="ar-SA"/>
        </w:rPr>
        <w:t xml:space="preserve"> million). Next is </w:t>
      </w:r>
      <w:r w:rsidRPr="009B5851">
        <w:rPr>
          <w:lang w:bidi="ar-SA"/>
        </w:rPr>
        <w:t>truck transportation ($</w:t>
      </w:r>
      <w:r w:rsidR="00FF0441" w:rsidRPr="009B5851">
        <w:rPr>
          <w:lang w:bidi="ar-SA"/>
        </w:rPr>
        <w:t>2</w:t>
      </w:r>
      <w:r w:rsidR="00B141BF">
        <w:rPr>
          <w:lang w:bidi="ar-SA"/>
        </w:rPr>
        <w:t>8.2</w:t>
      </w:r>
      <w:r w:rsidRPr="009B5851">
        <w:rPr>
          <w:lang w:bidi="ar-SA"/>
        </w:rPr>
        <w:t xml:space="preserve"> million), </w:t>
      </w:r>
      <w:r w:rsidRPr="009B5851">
        <w:rPr>
          <w:rFonts w:asciiTheme="minorHAnsi" w:hAnsiTheme="minorHAnsi"/>
          <w:lang w:bidi="ar-SA"/>
        </w:rPr>
        <w:t>followed by owner-occupied dwellings impact ($</w:t>
      </w:r>
      <w:r w:rsidR="00FF0441" w:rsidRPr="009B5851">
        <w:rPr>
          <w:rFonts w:asciiTheme="minorHAnsi" w:hAnsiTheme="minorHAnsi"/>
          <w:lang w:bidi="ar-SA"/>
        </w:rPr>
        <w:t>2</w:t>
      </w:r>
      <w:r w:rsidR="000B6B88">
        <w:rPr>
          <w:rFonts w:asciiTheme="minorHAnsi" w:hAnsiTheme="minorHAnsi"/>
          <w:lang w:bidi="ar-SA"/>
        </w:rPr>
        <w:t>2.4</w:t>
      </w:r>
      <w:r w:rsidRPr="009B5851">
        <w:rPr>
          <w:rFonts w:asciiTheme="minorHAnsi" w:hAnsiTheme="minorHAnsi"/>
          <w:lang w:bidi="ar-SA"/>
        </w:rPr>
        <w:t xml:space="preserve"> million)</w:t>
      </w:r>
      <w:r w:rsidR="00FF0441" w:rsidRPr="009B5851">
        <w:rPr>
          <w:rFonts w:asciiTheme="minorHAnsi" w:hAnsiTheme="minorHAnsi"/>
          <w:lang w:bidi="ar-SA"/>
        </w:rPr>
        <w:t>, this industry</w:t>
      </w:r>
      <w:r w:rsidRPr="009B5851">
        <w:rPr>
          <w:rFonts w:asciiTheme="minorHAnsi" w:hAnsiTheme="minorHAnsi"/>
          <w:lang w:bidi="ar-SA"/>
        </w:rPr>
        <w:t xml:space="preserve"> represents how much homeowners spen</w:t>
      </w:r>
      <w:r w:rsidR="002E22BE">
        <w:rPr>
          <w:rFonts w:asciiTheme="minorHAnsi" w:hAnsiTheme="minorHAnsi"/>
          <w:lang w:bidi="ar-SA"/>
        </w:rPr>
        <w:t>t</w:t>
      </w:r>
      <w:r w:rsidRPr="009B5851">
        <w:rPr>
          <w:rFonts w:asciiTheme="minorHAnsi" w:hAnsiTheme="minorHAnsi"/>
          <w:lang w:bidi="ar-SA"/>
        </w:rPr>
        <w:t xml:space="preserve"> </w:t>
      </w:r>
      <w:r w:rsidR="002E22BE">
        <w:rPr>
          <w:rFonts w:asciiTheme="minorHAnsi" w:hAnsiTheme="minorHAnsi"/>
          <w:lang w:bidi="ar-SA"/>
        </w:rPr>
        <w:t>o</w:t>
      </w:r>
      <w:r w:rsidRPr="009B5851">
        <w:rPr>
          <w:rFonts w:asciiTheme="minorHAnsi" w:hAnsiTheme="minorHAnsi"/>
          <w:lang w:bidi="ar-SA"/>
        </w:rPr>
        <w:t xml:space="preserve">n maintenance and repair of their homes. Also impacted </w:t>
      </w:r>
      <w:r w:rsidR="000C59F1">
        <w:rPr>
          <w:rFonts w:asciiTheme="minorHAnsi" w:hAnsiTheme="minorHAnsi"/>
          <w:lang w:bidi="ar-SA"/>
        </w:rPr>
        <w:t>we</w:t>
      </w:r>
      <w:r w:rsidRPr="009B5851">
        <w:rPr>
          <w:rFonts w:asciiTheme="minorHAnsi" w:hAnsiTheme="minorHAnsi"/>
          <w:lang w:bidi="ar-SA"/>
        </w:rPr>
        <w:t>re</w:t>
      </w:r>
      <w:r w:rsidR="00FF0441" w:rsidRPr="009B5851">
        <w:rPr>
          <w:rFonts w:asciiTheme="minorHAnsi" w:hAnsiTheme="minorHAnsi"/>
          <w:lang w:bidi="ar-SA"/>
        </w:rPr>
        <w:t xml:space="preserve"> wineries ($2</w:t>
      </w:r>
      <w:r w:rsidR="00E75300">
        <w:rPr>
          <w:rFonts w:asciiTheme="minorHAnsi" w:hAnsiTheme="minorHAnsi"/>
          <w:lang w:bidi="ar-SA"/>
        </w:rPr>
        <w:t>3.9</w:t>
      </w:r>
      <w:r w:rsidR="00FF0441" w:rsidRPr="009B5851">
        <w:rPr>
          <w:rFonts w:asciiTheme="minorHAnsi" w:hAnsiTheme="minorHAnsi"/>
          <w:lang w:bidi="ar-SA"/>
        </w:rPr>
        <w:t xml:space="preserve"> million),</w:t>
      </w:r>
      <w:r w:rsidRPr="009B5851">
        <w:rPr>
          <w:rFonts w:asciiTheme="minorHAnsi" w:hAnsiTheme="minorHAnsi"/>
          <w:lang w:bidi="ar-SA"/>
        </w:rPr>
        <w:t xml:space="preserve"> marketing </w:t>
      </w:r>
      <w:r w:rsidR="00E328F1">
        <w:rPr>
          <w:rFonts w:asciiTheme="minorHAnsi" w:hAnsiTheme="minorHAnsi"/>
          <w:lang w:bidi="ar-SA"/>
        </w:rPr>
        <w:t>related services</w:t>
      </w:r>
      <w:r w:rsidRPr="009B5851">
        <w:rPr>
          <w:rFonts w:asciiTheme="minorHAnsi" w:hAnsiTheme="minorHAnsi"/>
          <w:lang w:bidi="ar-SA"/>
        </w:rPr>
        <w:t xml:space="preserve"> ($</w:t>
      </w:r>
      <w:r w:rsidR="00F54107">
        <w:rPr>
          <w:rFonts w:asciiTheme="minorHAnsi" w:hAnsiTheme="minorHAnsi"/>
          <w:lang w:bidi="ar-SA"/>
        </w:rPr>
        <w:t>21.3</w:t>
      </w:r>
      <w:r w:rsidRPr="009B5851">
        <w:rPr>
          <w:rFonts w:asciiTheme="minorHAnsi" w:hAnsiTheme="minorHAnsi"/>
          <w:lang w:bidi="ar-SA"/>
        </w:rPr>
        <w:t xml:space="preserve"> million)</w:t>
      </w:r>
      <w:r w:rsidRPr="009B5851">
        <w:rPr>
          <w:lang w:bidi="ar-SA"/>
        </w:rPr>
        <w:t>, and insurance agencies</w:t>
      </w:r>
      <w:r w:rsidR="00EF0A02">
        <w:rPr>
          <w:lang w:bidi="ar-SA"/>
        </w:rPr>
        <w:t xml:space="preserve"> and brokers</w:t>
      </w:r>
      <w:r w:rsidRPr="009B5851">
        <w:rPr>
          <w:lang w:bidi="ar-SA"/>
        </w:rPr>
        <w:t xml:space="preserve"> ($1</w:t>
      </w:r>
      <w:r w:rsidR="00F54107">
        <w:rPr>
          <w:lang w:bidi="ar-SA"/>
        </w:rPr>
        <w:t>9</w:t>
      </w:r>
      <w:r w:rsidR="00FF0441" w:rsidRPr="009B5851">
        <w:rPr>
          <w:lang w:bidi="ar-SA"/>
        </w:rPr>
        <w:t>.6</w:t>
      </w:r>
      <w:r w:rsidRPr="009B5851">
        <w:rPr>
          <w:lang w:bidi="ar-SA"/>
        </w:rPr>
        <w:t xml:space="preserve"> million)</w:t>
      </w:r>
      <w:r w:rsidR="00291609">
        <w:rPr>
          <w:lang w:bidi="ar-SA"/>
        </w:rPr>
        <w:t>, insurance carriers ($14.6 million)</w:t>
      </w:r>
      <w:r w:rsidRPr="009B5851">
        <w:rPr>
          <w:lang w:bidi="ar-SA"/>
        </w:rPr>
        <w:t>, among others.</w:t>
      </w:r>
    </w:p>
    <w:p w14:paraId="0895953D" w14:textId="77777777" w:rsidR="009B5851" w:rsidRDefault="009B5851" w:rsidP="00916F19">
      <w:pPr>
        <w:spacing w:after="0"/>
        <w:jc w:val="both"/>
      </w:pPr>
    </w:p>
    <w:p w14:paraId="6D8AED9E" w14:textId="77777777" w:rsidR="00916F19" w:rsidRDefault="00916F19" w:rsidP="00916F19">
      <w:pPr>
        <w:pStyle w:val="Heading3"/>
        <w:spacing w:before="0"/>
      </w:pPr>
      <w:r>
        <w:t>Total Employment</w:t>
      </w:r>
    </w:p>
    <w:p w14:paraId="05CAC9E7" w14:textId="77777777" w:rsidR="00916F19" w:rsidRPr="002B6AD1" w:rsidRDefault="00916F19" w:rsidP="00916F19">
      <w:pPr>
        <w:spacing w:after="0"/>
      </w:pPr>
    </w:p>
    <w:p w14:paraId="4FB04E00" w14:textId="77777777" w:rsidR="00916F19" w:rsidRDefault="00916F19" w:rsidP="00916F19">
      <w:pPr>
        <w:spacing w:after="0"/>
        <w:jc w:val="both"/>
      </w:pPr>
      <w:r>
        <w:t xml:space="preserve">Total employment contributions can also give a better understanding of the industry effects. </w:t>
      </w:r>
    </w:p>
    <w:p w14:paraId="39AD40D9" w14:textId="77777777" w:rsidR="00916F19" w:rsidRDefault="00916F19" w:rsidP="00916F19">
      <w:pPr>
        <w:spacing w:after="0"/>
        <w:jc w:val="both"/>
      </w:pPr>
    </w:p>
    <w:tbl>
      <w:tblPr>
        <w:tblW w:w="9457" w:type="dxa"/>
        <w:tblInd w:w="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52"/>
        <w:gridCol w:w="1805"/>
      </w:tblGrid>
      <w:tr w:rsidR="00916F19" w:rsidRPr="009B5851" w14:paraId="3FA276CF" w14:textId="77777777" w:rsidTr="00D25EF0">
        <w:trPr>
          <w:trHeight w:val="588"/>
        </w:trPr>
        <w:tc>
          <w:tcPr>
            <w:tcW w:w="7652" w:type="dxa"/>
            <w:tcBorders>
              <w:top w:val="single" w:sz="4" w:space="0" w:color="auto"/>
              <w:left w:val="single" w:sz="4" w:space="0" w:color="auto"/>
              <w:bottom w:val="single" w:sz="4" w:space="0" w:color="auto"/>
            </w:tcBorders>
            <w:shd w:val="solid" w:color="C0C0C0" w:fill="auto"/>
          </w:tcPr>
          <w:p w14:paraId="469D9F6C" w14:textId="77777777" w:rsidR="00916F19" w:rsidRDefault="00916F19" w:rsidP="00E01916">
            <w:pPr>
              <w:autoSpaceDE w:val="0"/>
              <w:autoSpaceDN w:val="0"/>
              <w:adjustRightInd w:val="0"/>
              <w:spacing w:after="0" w:line="240" w:lineRule="auto"/>
              <w:jc w:val="center"/>
              <w:rPr>
                <w:rFonts w:ascii="Calibri" w:hAnsi="Calibri" w:cs="Calibri"/>
                <w:b/>
                <w:bCs/>
                <w:color w:val="000000"/>
              </w:rPr>
            </w:pPr>
          </w:p>
          <w:p w14:paraId="27F9BCDD" w14:textId="666400BB" w:rsidR="00916F19" w:rsidRPr="009B5851" w:rsidRDefault="00916F19" w:rsidP="00E01916">
            <w:pPr>
              <w:autoSpaceDE w:val="0"/>
              <w:autoSpaceDN w:val="0"/>
              <w:adjustRightInd w:val="0"/>
              <w:spacing w:after="0" w:line="240" w:lineRule="auto"/>
              <w:jc w:val="center"/>
              <w:rPr>
                <w:rFonts w:ascii="Calibri" w:hAnsi="Calibri" w:cs="Calibri"/>
                <w:b/>
                <w:bCs/>
                <w:color w:val="000000"/>
              </w:rPr>
            </w:pPr>
            <w:r w:rsidRPr="009B5851">
              <w:rPr>
                <w:rFonts w:ascii="Calibri" w:hAnsi="Calibri" w:cs="Calibri"/>
                <w:b/>
                <w:bCs/>
                <w:color w:val="000000"/>
              </w:rPr>
              <w:t>Employment: Industries Impacted by Distillers</w:t>
            </w:r>
            <w:r w:rsidR="0046376B" w:rsidRPr="009B5851">
              <w:rPr>
                <w:rFonts w:ascii="Calibri" w:hAnsi="Calibri" w:cs="Calibri"/>
                <w:b/>
                <w:bCs/>
                <w:color w:val="000000"/>
              </w:rPr>
              <w:t xml:space="preserve"> in 20</w:t>
            </w:r>
            <w:r w:rsidR="006B6CAB">
              <w:rPr>
                <w:rFonts w:ascii="Calibri" w:hAnsi="Calibri" w:cs="Calibri"/>
                <w:b/>
                <w:bCs/>
                <w:color w:val="000000"/>
              </w:rPr>
              <w:t>20</w:t>
            </w:r>
          </w:p>
          <w:p w14:paraId="32CF40D4" w14:textId="77777777" w:rsidR="00916F19" w:rsidRPr="009B5851" w:rsidRDefault="00916F19" w:rsidP="00E01916">
            <w:pPr>
              <w:autoSpaceDE w:val="0"/>
              <w:autoSpaceDN w:val="0"/>
              <w:adjustRightInd w:val="0"/>
              <w:spacing w:after="0" w:line="240" w:lineRule="auto"/>
              <w:jc w:val="center"/>
              <w:rPr>
                <w:rFonts w:ascii="Calibri" w:hAnsi="Calibri" w:cs="Calibri"/>
                <w:b/>
                <w:bCs/>
                <w:color w:val="000000"/>
              </w:rPr>
            </w:pPr>
            <w:r w:rsidRPr="009B5851">
              <w:rPr>
                <w:rFonts w:ascii="Calibri" w:hAnsi="Calibri" w:cs="Calibri"/>
                <w:b/>
                <w:bCs/>
                <w:color w:val="000000"/>
              </w:rPr>
              <w:t>(Total Contributions)</w:t>
            </w:r>
          </w:p>
        </w:tc>
        <w:tc>
          <w:tcPr>
            <w:tcW w:w="1805" w:type="dxa"/>
            <w:tcBorders>
              <w:top w:val="single" w:sz="4" w:space="0" w:color="auto"/>
              <w:bottom w:val="single" w:sz="4" w:space="0" w:color="auto"/>
              <w:right w:val="single" w:sz="4" w:space="0" w:color="auto"/>
            </w:tcBorders>
            <w:shd w:val="solid" w:color="C0C0C0" w:fill="auto"/>
          </w:tcPr>
          <w:p w14:paraId="53F6D6FC" w14:textId="77777777" w:rsidR="00916F19" w:rsidRPr="009B5851" w:rsidRDefault="00916F19" w:rsidP="00E01916">
            <w:pPr>
              <w:autoSpaceDE w:val="0"/>
              <w:autoSpaceDN w:val="0"/>
              <w:adjustRightInd w:val="0"/>
              <w:jc w:val="center"/>
              <w:rPr>
                <w:rFonts w:ascii="Calibri" w:hAnsi="Calibri" w:cs="Calibri"/>
                <w:b/>
                <w:bCs/>
                <w:color w:val="000000"/>
              </w:rPr>
            </w:pPr>
            <w:r w:rsidRPr="009B5851">
              <w:rPr>
                <w:rFonts w:ascii="Calibri" w:hAnsi="Calibri" w:cs="Calibri"/>
                <w:b/>
                <w:bCs/>
                <w:color w:val="000000"/>
              </w:rPr>
              <w:t>Total Contributions Employment</w:t>
            </w:r>
          </w:p>
        </w:tc>
      </w:tr>
      <w:tr w:rsidR="006B6CAB" w:rsidRPr="009B5851" w14:paraId="197206C0" w14:textId="77777777" w:rsidTr="00D25EF0">
        <w:trPr>
          <w:trHeight w:val="287"/>
        </w:trPr>
        <w:tc>
          <w:tcPr>
            <w:tcW w:w="7652" w:type="dxa"/>
            <w:tcBorders>
              <w:top w:val="single" w:sz="4" w:space="0" w:color="auto"/>
              <w:left w:val="single" w:sz="4" w:space="0" w:color="auto"/>
              <w:right w:val="single" w:sz="4" w:space="0" w:color="auto"/>
            </w:tcBorders>
          </w:tcPr>
          <w:p w14:paraId="56B4C74D" w14:textId="5635730C"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Distilleries</w:t>
            </w:r>
          </w:p>
        </w:tc>
        <w:tc>
          <w:tcPr>
            <w:tcW w:w="1805" w:type="dxa"/>
            <w:tcBorders>
              <w:top w:val="single" w:sz="4" w:space="0" w:color="auto"/>
              <w:left w:val="single" w:sz="4" w:space="0" w:color="auto"/>
              <w:bottom w:val="nil"/>
              <w:right w:val="single" w:sz="4" w:space="0" w:color="auto"/>
            </w:tcBorders>
          </w:tcPr>
          <w:p w14:paraId="704EC896" w14:textId="11D74D73"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1,321</w:t>
            </w:r>
          </w:p>
        </w:tc>
      </w:tr>
      <w:tr w:rsidR="006B6CAB" w:rsidRPr="009B5851" w14:paraId="7F94F139" w14:textId="77777777" w:rsidTr="00D25EF0">
        <w:trPr>
          <w:trHeight w:val="287"/>
        </w:trPr>
        <w:tc>
          <w:tcPr>
            <w:tcW w:w="7652" w:type="dxa"/>
            <w:tcBorders>
              <w:left w:val="single" w:sz="4" w:space="0" w:color="auto"/>
              <w:right w:val="single" w:sz="4" w:space="0" w:color="auto"/>
            </w:tcBorders>
          </w:tcPr>
          <w:p w14:paraId="4679A8B9" w14:textId="4F0CFA85"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Wholesale - Other nondurable goods merchant wholesalers</w:t>
            </w:r>
          </w:p>
        </w:tc>
        <w:tc>
          <w:tcPr>
            <w:tcW w:w="1805" w:type="dxa"/>
            <w:tcBorders>
              <w:top w:val="nil"/>
              <w:left w:val="single" w:sz="4" w:space="0" w:color="auto"/>
              <w:bottom w:val="nil"/>
              <w:right w:val="single" w:sz="4" w:space="0" w:color="auto"/>
            </w:tcBorders>
          </w:tcPr>
          <w:p w14:paraId="444AAB28" w14:textId="7D8DB7CC"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360</w:t>
            </w:r>
          </w:p>
        </w:tc>
      </w:tr>
      <w:tr w:rsidR="006B6CAB" w:rsidRPr="009B5851" w14:paraId="7E3397D3" w14:textId="77777777" w:rsidTr="00D25EF0">
        <w:trPr>
          <w:trHeight w:val="287"/>
        </w:trPr>
        <w:tc>
          <w:tcPr>
            <w:tcW w:w="7652" w:type="dxa"/>
            <w:tcBorders>
              <w:left w:val="single" w:sz="4" w:space="0" w:color="auto"/>
              <w:right w:val="single" w:sz="4" w:space="0" w:color="auto"/>
            </w:tcBorders>
          </w:tcPr>
          <w:p w14:paraId="0FF713CB" w14:textId="2E8E2CAC"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Truck transportation</w:t>
            </w:r>
          </w:p>
        </w:tc>
        <w:tc>
          <w:tcPr>
            <w:tcW w:w="1805" w:type="dxa"/>
            <w:tcBorders>
              <w:top w:val="nil"/>
              <w:left w:val="single" w:sz="4" w:space="0" w:color="auto"/>
              <w:bottom w:val="nil"/>
              <w:right w:val="single" w:sz="4" w:space="0" w:color="auto"/>
            </w:tcBorders>
          </w:tcPr>
          <w:p w14:paraId="14BEFE6F" w14:textId="081E3A72"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188</w:t>
            </w:r>
          </w:p>
        </w:tc>
      </w:tr>
      <w:tr w:rsidR="006B6CAB" w:rsidRPr="009B5851" w14:paraId="7614B3BA" w14:textId="77777777" w:rsidTr="00D25EF0">
        <w:trPr>
          <w:trHeight w:val="287"/>
        </w:trPr>
        <w:tc>
          <w:tcPr>
            <w:tcW w:w="7652" w:type="dxa"/>
            <w:tcBorders>
              <w:left w:val="single" w:sz="4" w:space="0" w:color="auto"/>
              <w:right w:val="single" w:sz="4" w:space="0" w:color="auto"/>
            </w:tcBorders>
          </w:tcPr>
          <w:p w14:paraId="1C548000" w14:textId="57860B44"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Wholesale - Machinery, equipment, and supplies</w:t>
            </w:r>
          </w:p>
        </w:tc>
        <w:tc>
          <w:tcPr>
            <w:tcW w:w="1805" w:type="dxa"/>
            <w:tcBorders>
              <w:top w:val="nil"/>
              <w:left w:val="single" w:sz="4" w:space="0" w:color="auto"/>
              <w:bottom w:val="nil"/>
              <w:right w:val="single" w:sz="4" w:space="0" w:color="auto"/>
            </w:tcBorders>
          </w:tcPr>
          <w:p w14:paraId="70BF4DB3" w14:textId="4317771F"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151</w:t>
            </w:r>
          </w:p>
        </w:tc>
      </w:tr>
      <w:tr w:rsidR="006B6CAB" w:rsidRPr="009B5851" w14:paraId="464CBE52" w14:textId="77777777" w:rsidTr="00D25EF0">
        <w:trPr>
          <w:trHeight w:val="287"/>
        </w:trPr>
        <w:tc>
          <w:tcPr>
            <w:tcW w:w="7652" w:type="dxa"/>
            <w:tcBorders>
              <w:left w:val="single" w:sz="4" w:space="0" w:color="auto"/>
              <w:right w:val="single" w:sz="4" w:space="0" w:color="auto"/>
            </w:tcBorders>
          </w:tcPr>
          <w:p w14:paraId="133FCF66" w14:textId="547E92BE"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Other real estate</w:t>
            </w:r>
          </w:p>
        </w:tc>
        <w:tc>
          <w:tcPr>
            <w:tcW w:w="1805" w:type="dxa"/>
            <w:tcBorders>
              <w:top w:val="nil"/>
              <w:left w:val="single" w:sz="4" w:space="0" w:color="auto"/>
              <w:bottom w:val="nil"/>
              <w:right w:val="single" w:sz="4" w:space="0" w:color="auto"/>
            </w:tcBorders>
          </w:tcPr>
          <w:p w14:paraId="12043407" w14:textId="54DD410E"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147</w:t>
            </w:r>
          </w:p>
        </w:tc>
      </w:tr>
      <w:tr w:rsidR="006B6CAB" w:rsidRPr="009B5851" w14:paraId="07914EDF" w14:textId="77777777" w:rsidTr="00D25EF0">
        <w:trPr>
          <w:trHeight w:val="287"/>
        </w:trPr>
        <w:tc>
          <w:tcPr>
            <w:tcW w:w="7652" w:type="dxa"/>
            <w:tcBorders>
              <w:left w:val="single" w:sz="4" w:space="0" w:color="auto"/>
              <w:right w:val="single" w:sz="4" w:space="0" w:color="auto"/>
            </w:tcBorders>
          </w:tcPr>
          <w:p w14:paraId="092E1819" w14:textId="24F3DE18"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Management of companies and enterprises</w:t>
            </w:r>
          </w:p>
        </w:tc>
        <w:tc>
          <w:tcPr>
            <w:tcW w:w="1805" w:type="dxa"/>
            <w:tcBorders>
              <w:top w:val="nil"/>
              <w:left w:val="single" w:sz="4" w:space="0" w:color="auto"/>
              <w:bottom w:val="nil"/>
              <w:right w:val="single" w:sz="4" w:space="0" w:color="auto"/>
            </w:tcBorders>
          </w:tcPr>
          <w:p w14:paraId="485F356C" w14:textId="0EC09625"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97</w:t>
            </w:r>
          </w:p>
        </w:tc>
      </w:tr>
      <w:tr w:rsidR="006B6CAB" w:rsidRPr="009B5851" w14:paraId="429F9306" w14:textId="77777777" w:rsidTr="00D25EF0">
        <w:trPr>
          <w:trHeight w:val="287"/>
        </w:trPr>
        <w:tc>
          <w:tcPr>
            <w:tcW w:w="7652" w:type="dxa"/>
            <w:tcBorders>
              <w:left w:val="single" w:sz="4" w:space="0" w:color="auto"/>
              <w:right w:val="single" w:sz="4" w:space="0" w:color="auto"/>
            </w:tcBorders>
          </w:tcPr>
          <w:p w14:paraId="6C8B844C" w14:textId="55EC7E8A"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Full-service restaurants</w:t>
            </w:r>
          </w:p>
        </w:tc>
        <w:tc>
          <w:tcPr>
            <w:tcW w:w="1805" w:type="dxa"/>
            <w:tcBorders>
              <w:top w:val="nil"/>
              <w:left w:val="single" w:sz="4" w:space="0" w:color="auto"/>
              <w:bottom w:val="nil"/>
              <w:right w:val="single" w:sz="4" w:space="0" w:color="auto"/>
            </w:tcBorders>
          </w:tcPr>
          <w:p w14:paraId="3F5F35CB" w14:textId="03D4077A"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93</w:t>
            </w:r>
          </w:p>
        </w:tc>
      </w:tr>
      <w:tr w:rsidR="006B6CAB" w:rsidRPr="009B5851" w14:paraId="5D8E0E43" w14:textId="77777777" w:rsidTr="00D25EF0">
        <w:trPr>
          <w:trHeight w:val="287"/>
        </w:trPr>
        <w:tc>
          <w:tcPr>
            <w:tcW w:w="7652" w:type="dxa"/>
            <w:tcBorders>
              <w:left w:val="single" w:sz="4" w:space="0" w:color="auto"/>
              <w:right w:val="single" w:sz="4" w:space="0" w:color="auto"/>
            </w:tcBorders>
          </w:tcPr>
          <w:p w14:paraId="7ED824B1" w14:textId="5064A806"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Limited-service restaurants</w:t>
            </w:r>
          </w:p>
        </w:tc>
        <w:tc>
          <w:tcPr>
            <w:tcW w:w="1805" w:type="dxa"/>
            <w:tcBorders>
              <w:top w:val="nil"/>
              <w:left w:val="single" w:sz="4" w:space="0" w:color="auto"/>
              <w:bottom w:val="nil"/>
              <w:right w:val="single" w:sz="4" w:space="0" w:color="auto"/>
            </w:tcBorders>
          </w:tcPr>
          <w:p w14:paraId="4504A07F" w14:textId="434E1A73"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88</w:t>
            </w:r>
          </w:p>
        </w:tc>
      </w:tr>
      <w:tr w:rsidR="006B6CAB" w:rsidRPr="009B5851" w14:paraId="116FF6BD" w14:textId="77777777" w:rsidTr="00D25EF0">
        <w:trPr>
          <w:trHeight w:val="287"/>
        </w:trPr>
        <w:tc>
          <w:tcPr>
            <w:tcW w:w="7652" w:type="dxa"/>
            <w:tcBorders>
              <w:left w:val="single" w:sz="4" w:space="0" w:color="auto"/>
              <w:right w:val="single" w:sz="4" w:space="0" w:color="auto"/>
            </w:tcBorders>
          </w:tcPr>
          <w:p w14:paraId="2DC61049" w14:textId="54E53C5C"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Employment services</w:t>
            </w:r>
          </w:p>
        </w:tc>
        <w:tc>
          <w:tcPr>
            <w:tcW w:w="1805" w:type="dxa"/>
            <w:tcBorders>
              <w:top w:val="nil"/>
              <w:left w:val="single" w:sz="4" w:space="0" w:color="auto"/>
              <w:bottom w:val="nil"/>
              <w:right w:val="single" w:sz="4" w:space="0" w:color="auto"/>
            </w:tcBorders>
          </w:tcPr>
          <w:p w14:paraId="226B823C" w14:textId="14B3872F"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84</w:t>
            </w:r>
          </w:p>
        </w:tc>
      </w:tr>
      <w:tr w:rsidR="006B6CAB" w:rsidRPr="009B5851" w14:paraId="487972FE" w14:textId="77777777" w:rsidTr="00D25EF0">
        <w:trPr>
          <w:trHeight w:val="287"/>
        </w:trPr>
        <w:tc>
          <w:tcPr>
            <w:tcW w:w="7652" w:type="dxa"/>
            <w:tcBorders>
              <w:left w:val="single" w:sz="4" w:space="0" w:color="auto"/>
              <w:right w:val="single" w:sz="4" w:space="0" w:color="auto"/>
            </w:tcBorders>
          </w:tcPr>
          <w:p w14:paraId="0F597A51" w14:textId="6397FE1A"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Wineries</w:t>
            </w:r>
          </w:p>
        </w:tc>
        <w:tc>
          <w:tcPr>
            <w:tcW w:w="1805" w:type="dxa"/>
            <w:tcBorders>
              <w:top w:val="nil"/>
              <w:left w:val="single" w:sz="4" w:space="0" w:color="auto"/>
              <w:bottom w:val="nil"/>
              <w:right w:val="single" w:sz="4" w:space="0" w:color="auto"/>
            </w:tcBorders>
          </w:tcPr>
          <w:p w14:paraId="76B63E1A" w14:textId="5838499F"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78</w:t>
            </w:r>
          </w:p>
        </w:tc>
      </w:tr>
      <w:tr w:rsidR="006B6CAB" w:rsidRPr="009B5851" w14:paraId="4FF5239A" w14:textId="77777777" w:rsidTr="00D25EF0">
        <w:trPr>
          <w:trHeight w:val="287"/>
        </w:trPr>
        <w:tc>
          <w:tcPr>
            <w:tcW w:w="7652" w:type="dxa"/>
            <w:tcBorders>
              <w:left w:val="single" w:sz="4" w:space="0" w:color="auto"/>
              <w:right w:val="single" w:sz="4" w:space="0" w:color="auto"/>
            </w:tcBorders>
          </w:tcPr>
          <w:p w14:paraId="763D4460" w14:textId="32748D08"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Glass container manufacturing</w:t>
            </w:r>
          </w:p>
        </w:tc>
        <w:tc>
          <w:tcPr>
            <w:tcW w:w="1805" w:type="dxa"/>
            <w:tcBorders>
              <w:top w:val="nil"/>
              <w:left w:val="single" w:sz="4" w:space="0" w:color="auto"/>
              <w:bottom w:val="nil"/>
              <w:right w:val="single" w:sz="4" w:space="0" w:color="auto"/>
            </w:tcBorders>
          </w:tcPr>
          <w:p w14:paraId="2775095E" w14:textId="60BBE3AA"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76</w:t>
            </w:r>
          </w:p>
        </w:tc>
      </w:tr>
      <w:tr w:rsidR="006B6CAB" w:rsidRPr="009B5851" w14:paraId="02BB3D81" w14:textId="77777777" w:rsidTr="00D25EF0">
        <w:trPr>
          <w:trHeight w:val="287"/>
        </w:trPr>
        <w:tc>
          <w:tcPr>
            <w:tcW w:w="7652" w:type="dxa"/>
            <w:tcBorders>
              <w:left w:val="single" w:sz="4" w:space="0" w:color="auto"/>
              <w:right w:val="single" w:sz="4" w:space="0" w:color="auto"/>
            </w:tcBorders>
          </w:tcPr>
          <w:p w14:paraId="0A63BD97" w14:textId="32B71C23"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Insurance agencies, brokerages, and related activities</w:t>
            </w:r>
          </w:p>
        </w:tc>
        <w:tc>
          <w:tcPr>
            <w:tcW w:w="1805" w:type="dxa"/>
            <w:tcBorders>
              <w:top w:val="nil"/>
              <w:left w:val="single" w:sz="4" w:space="0" w:color="auto"/>
              <w:bottom w:val="nil"/>
              <w:right w:val="single" w:sz="4" w:space="0" w:color="auto"/>
            </w:tcBorders>
          </w:tcPr>
          <w:p w14:paraId="2F6CF9E3" w14:textId="069EA2C9"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76</w:t>
            </w:r>
          </w:p>
        </w:tc>
      </w:tr>
      <w:tr w:rsidR="006B6CAB" w:rsidRPr="009B5851" w14:paraId="4E75B81F" w14:textId="77777777" w:rsidTr="00D25EF0">
        <w:trPr>
          <w:trHeight w:val="287"/>
        </w:trPr>
        <w:tc>
          <w:tcPr>
            <w:tcW w:w="7652" w:type="dxa"/>
            <w:tcBorders>
              <w:left w:val="single" w:sz="4" w:space="0" w:color="auto"/>
              <w:right w:val="single" w:sz="4" w:space="0" w:color="auto"/>
            </w:tcBorders>
          </w:tcPr>
          <w:p w14:paraId="64332EA4" w14:textId="04A7E2CD"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Couriers and messengers</w:t>
            </w:r>
          </w:p>
        </w:tc>
        <w:tc>
          <w:tcPr>
            <w:tcW w:w="1805" w:type="dxa"/>
            <w:tcBorders>
              <w:top w:val="nil"/>
              <w:left w:val="single" w:sz="4" w:space="0" w:color="auto"/>
              <w:bottom w:val="nil"/>
              <w:right w:val="single" w:sz="4" w:space="0" w:color="auto"/>
            </w:tcBorders>
          </w:tcPr>
          <w:p w14:paraId="1A912CF0" w14:textId="24A5DFE4"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66</w:t>
            </w:r>
          </w:p>
        </w:tc>
      </w:tr>
      <w:tr w:rsidR="006B6CAB" w:rsidRPr="009B5851" w14:paraId="1F414C2B" w14:textId="77777777" w:rsidTr="00D25EF0">
        <w:trPr>
          <w:trHeight w:val="287"/>
        </w:trPr>
        <w:tc>
          <w:tcPr>
            <w:tcW w:w="7652" w:type="dxa"/>
            <w:tcBorders>
              <w:left w:val="single" w:sz="4" w:space="0" w:color="auto"/>
              <w:right w:val="single" w:sz="4" w:space="0" w:color="auto"/>
            </w:tcBorders>
          </w:tcPr>
          <w:p w14:paraId="15255B4D" w14:textId="0DBE55D4"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Marketing related industries</w:t>
            </w:r>
          </w:p>
        </w:tc>
        <w:tc>
          <w:tcPr>
            <w:tcW w:w="1805" w:type="dxa"/>
            <w:tcBorders>
              <w:top w:val="nil"/>
              <w:left w:val="single" w:sz="4" w:space="0" w:color="auto"/>
              <w:bottom w:val="nil"/>
              <w:right w:val="single" w:sz="4" w:space="0" w:color="auto"/>
            </w:tcBorders>
          </w:tcPr>
          <w:p w14:paraId="552C4AE0" w14:textId="505CD085"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66</w:t>
            </w:r>
          </w:p>
        </w:tc>
      </w:tr>
      <w:tr w:rsidR="006B6CAB" w:rsidRPr="009B5851" w14:paraId="7E60CBFD" w14:textId="77777777" w:rsidTr="00D25EF0">
        <w:trPr>
          <w:trHeight w:val="287"/>
        </w:trPr>
        <w:tc>
          <w:tcPr>
            <w:tcW w:w="7652" w:type="dxa"/>
            <w:tcBorders>
              <w:left w:val="single" w:sz="4" w:space="0" w:color="auto"/>
              <w:right w:val="single" w:sz="4" w:space="0" w:color="auto"/>
            </w:tcBorders>
          </w:tcPr>
          <w:p w14:paraId="7849B26E" w14:textId="42845D84"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Warehousing and storage</w:t>
            </w:r>
          </w:p>
        </w:tc>
        <w:tc>
          <w:tcPr>
            <w:tcW w:w="1805" w:type="dxa"/>
            <w:tcBorders>
              <w:top w:val="nil"/>
              <w:left w:val="single" w:sz="4" w:space="0" w:color="auto"/>
              <w:bottom w:val="nil"/>
              <w:right w:val="single" w:sz="4" w:space="0" w:color="auto"/>
            </w:tcBorders>
          </w:tcPr>
          <w:p w14:paraId="3E4F2C3C" w14:textId="23E09B27"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53</w:t>
            </w:r>
          </w:p>
        </w:tc>
      </w:tr>
      <w:tr w:rsidR="006B6CAB" w:rsidRPr="009B5851" w14:paraId="3659C11A" w14:textId="77777777" w:rsidTr="00D25EF0">
        <w:trPr>
          <w:trHeight w:val="287"/>
        </w:trPr>
        <w:tc>
          <w:tcPr>
            <w:tcW w:w="7652" w:type="dxa"/>
            <w:tcBorders>
              <w:left w:val="single" w:sz="4" w:space="0" w:color="auto"/>
              <w:right w:val="single" w:sz="4" w:space="0" w:color="auto"/>
            </w:tcBorders>
          </w:tcPr>
          <w:p w14:paraId="627EB313" w14:textId="56DC2020"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Services to buildings</w:t>
            </w:r>
          </w:p>
        </w:tc>
        <w:tc>
          <w:tcPr>
            <w:tcW w:w="1805" w:type="dxa"/>
            <w:tcBorders>
              <w:top w:val="nil"/>
              <w:left w:val="single" w:sz="4" w:space="0" w:color="auto"/>
              <w:bottom w:val="nil"/>
              <w:right w:val="single" w:sz="4" w:space="0" w:color="auto"/>
            </w:tcBorders>
          </w:tcPr>
          <w:p w14:paraId="31A8DE02" w14:textId="285A96CC"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46</w:t>
            </w:r>
          </w:p>
        </w:tc>
      </w:tr>
      <w:tr w:rsidR="006B6CAB" w:rsidRPr="009B5851" w14:paraId="7CA69368" w14:textId="77777777" w:rsidTr="00D25EF0">
        <w:trPr>
          <w:trHeight w:val="287"/>
        </w:trPr>
        <w:tc>
          <w:tcPr>
            <w:tcW w:w="7652" w:type="dxa"/>
            <w:tcBorders>
              <w:left w:val="single" w:sz="4" w:space="0" w:color="auto"/>
              <w:bottom w:val="single" w:sz="4" w:space="0" w:color="auto"/>
              <w:right w:val="single" w:sz="4" w:space="0" w:color="auto"/>
            </w:tcBorders>
          </w:tcPr>
          <w:p w14:paraId="2C51DC23" w14:textId="62C5C2D5" w:rsidR="006B6CAB" w:rsidRPr="006B6CAB" w:rsidRDefault="006B6CAB" w:rsidP="006B6CAB">
            <w:pPr>
              <w:autoSpaceDE w:val="0"/>
              <w:autoSpaceDN w:val="0"/>
              <w:adjustRightInd w:val="0"/>
              <w:spacing w:after="0" w:line="240" w:lineRule="auto"/>
              <w:rPr>
                <w:rFonts w:ascii="Calibri" w:hAnsi="Calibri" w:cs="Calibri"/>
                <w:color w:val="000000"/>
                <w:sz w:val="20"/>
                <w:szCs w:val="20"/>
              </w:rPr>
            </w:pPr>
            <w:r w:rsidRPr="006B6CAB">
              <w:rPr>
                <w:rFonts w:ascii="Calibri" w:hAnsi="Calibri" w:cs="Calibri"/>
                <w:color w:val="000000"/>
                <w:sz w:val="20"/>
                <w:szCs w:val="20"/>
              </w:rPr>
              <w:t>Monetary authorities and depository credit intermediation</w:t>
            </w:r>
          </w:p>
        </w:tc>
        <w:tc>
          <w:tcPr>
            <w:tcW w:w="1805" w:type="dxa"/>
            <w:tcBorders>
              <w:top w:val="nil"/>
              <w:left w:val="single" w:sz="4" w:space="0" w:color="auto"/>
              <w:bottom w:val="single" w:sz="4" w:space="0" w:color="auto"/>
              <w:right w:val="single" w:sz="4" w:space="0" w:color="auto"/>
            </w:tcBorders>
          </w:tcPr>
          <w:p w14:paraId="5B76EE73" w14:textId="6BD99038" w:rsidR="006B6CAB" w:rsidRPr="006B6CAB" w:rsidRDefault="006B6CAB" w:rsidP="005665ED">
            <w:pPr>
              <w:autoSpaceDE w:val="0"/>
              <w:autoSpaceDN w:val="0"/>
              <w:adjustRightInd w:val="0"/>
              <w:spacing w:after="0" w:line="240" w:lineRule="auto"/>
              <w:jc w:val="center"/>
              <w:rPr>
                <w:rFonts w:ascii="Calibri" w:hAnsi="Calibri" w:cs="Calibri"/>
                <w:color w:val="000000"/>
                <w:sz w:val="20"/>
                <w:szCs w:val="20"/>
              </w:rPr>
            </w:pPr>
            <w:r w:rsidRPr="006B6CAB">
              <w:rPr>
                <w:rFonts w:ascii="Calibri" w:hAnsi="Calibri" w:cs="Calibri"/>
                <w:color w:val="000000"/>
                <w:sz w:val="20"/>
                <w:szCs w:val="20"/>
              </w:rPr>
              <w:t>46</w:t>
            </w:r>
          </w:p>
        </w:tc>
      </w:tr>
    </w:tbl>
    <w:p w14:paraId="24DA292F" w14:textId="77777777" w:rsidR="00916F19" w:rsidRPr="009B5851" w:rsidRDefault="00916F19" w:rsidP="00916F19">
      <w:pPr>
        <w:spacing w:after="0"/>
        <w:jc w:val="both"/>
        <w:rPr>
          <w:sz w:val="18"/>
          <w:szCs w:val="18"/>
        </w:rPr>
      </w:pPr>
      <w:r w:rsidRPr="009B5851">
        <w:t xml:space="preserve">  </w:t>
      </w:r>
      <w:r w:rsidR="0086740D" w:rsidRPr="009B5851">
        <w:rPr>
          <w:sz w:val="18"/>
          <w:szCs w:val="18"/>
        </w:rPr>
        <w:t>Source: IMPLAN online platform</w:t>
      </w:r>
      <w:r w:rsidRPr="009B5851">
        <w:rPr>
          <w:sz w:val="18"/>
          <w:szCs w:val="18"/>
        </w:rPr>
        <w:t>. Elaboration: J. Oyakawa</w:t>
      </w:r>
    </w:p>
    <w:p w14:paraId="606ABE13" w14:textId="77777777" w:rsidR="00916F19" w:rsidRPr="009B5851" w:rsidRDefault="00916F19" w:rsidP="00916F19">
      <w:pPr>
        <w:spacing w:after="0"/>
        <w:jc w:val="both"/>
      </w:pPr>
    </w:p>
    <w:p w14:paraId="7A0ABC1C" w14:textId="63007754" w:rsidR="00916F19" w:rsidRDefault="00916F19" w:rsidP="00916F19">
      <w:pPr>
        <w:spacing w:after="0"/>
        <w:jc w:val="both"/>
      </w:pPr>
      <w:r w:rsidRPr="009B5851">
        <w:t xml:space="preserve">Similar to the output contributions, the most affected industry </w:t>
      </w:r>
      <w:r w:rsidR="00E328F1">
        <w:t>is</w:t>
      </w:r>
      <w:r w:rsidRPr="009B5851">
        <w:t xml:space="preserve"> distilleries with </w:t>
      </w:r>
      <w:r w:rsidR="004E3550" w:rsidRPr="009B5851">
        <w:t>1,</w:t>
      </w:r>
      <w:r w:rsidR="00440598">
        <w:t>321</w:t>
      </w:r>
      <w:r w:rsidRPr="009B5851">
        <w:t xml:space="preserve"> jobs supported, followed by wholesale trade</w:t>
      </w:r>
      <w:r w:rsidR="004E3550" w:rsidRPr="009B5851">
        <w:t xml:space="preserve"> for nondurables</w:t>
      </w:r>
      <w:r w:rsidRPr="009B5851">
        <w:t xml:space="preserve"> (</w:t>
      </w:r>
      <w:r w:rsidR="004E3550" w:rsidRPr="009B5851">
        <w:t>3</w:t>
      </w:r>
      <w:r w:rsidR="00440598">
        <w:t>60</w:t>
      </w:r>
      <w:r w:rsidRPr="009B5851">
        <w:t xml:space="preserve"> jobs), </w:t>
      </w:r>
      <w:r w:rsidR="004E3550" w:rsidRPr="009B5851">
        <w:t>truck transportation (1</w:t>
      </w:r>
      <w:r w:rsidR="00440598">
        <w:t>88</w:t>
      </w:r>
      <w:r w:rsidR="004E3550" w:rsidRPr="009B5851">
        <w:t xml:space="preserve"> jobs), and wholesale trade for machinery (1</w:t>
      </w:r>
      <w:r w:rsidR="00440598">
        <w:t>51</w:t>
      </w:r>
      <w:r w:rsidR="004E3550" w:rsidRPr="009B5851">
        <w:t xml:space="preserve"> jobs). </w:t>
      </w:r>
      <w:r w:rsidR="00E328F1">
        <w:t>Those industries were followed by</w:t>
      </w:r>
      <w:r w:rsidRPr="009B5851">
        <w:t xml:space="preserve"> </w:t>
      </w:r>
      <w:r w:rsidR="004E3550" w:rsidRPr="009B5851">
        <w:t xml:space="preserve">other </w:t>
      </w:r>
      <w:r w:rsidRPr="009B5851">
        <w:t>real estate</w:t>
      </w:r>
      <w:r w:rsidR="00FE386C">
        <w:t>s</w:t>
      </w:r>
      <w:r w:rsidRPr="009B5851">
        <w:t xml:space="preserve"> (</w:t>
      </w:r>
      <w:r w:rsidR="004E3550" w:rsidRPr="009B5851">
        <w:t>1</w:t>
      </w:r>
      <w:r w:rsidR="00E806E8">
        <w:t>47</w:t>
      </w:r>
      <w:r w:rsidRPr="009B5851">
        <w:t xml:space="preserve"> jobs), </w:t>
      </w:r>
      <w:r w:rsidR="00E806E8" w:rsidRPr="009B5851">
        <w:t>management of companies (</w:t>
      </w:r>
      <w:r w:rsidR="00E806E8">
        <w:t>97</w:t>
      </w:r>
      <w:r w:rsidR="00E806E8" w:rsidRPr="009B5851">
        <w:t xml:space="preserve"> jobs), </w:t>
      </w:r>
      <w:r w:rsidRPr="009B5851">
        <w:t>full- (</w:t>
      </w:r>
      <w:r w:rsidR="00B36360">
        <w:t>93</w:t>
      </w:r>
      <w:r w:rsidRPr="009B5851">
        <w:t xml:space="preserve"> jobs) and limited-service (</w:t>
      </w:r>
      <w:r w:rsidR="004E3550" w:rsidRPr="009B5851">
        <w:t>8</w:t>
      </w:r>
      <w:r w:rsidR="00B36360">
        <w:t>8</w:t>
      </w:r>
      <w:r w:rsidRPr="009B5851">
        <w:t xml:space="preserve"> jobs) restaurants</w:t>
      </w:r>
      <w:r w:rsidR="004E3550" w:rsidRPr="009B5851">
        <w:t>, employment services (8</w:t>
      </w:r>
      <w:r w:rsidR="00BB7535">
        <w:t>4</w:t>
      </w:r>
      <w:r w:rsidR="004E3550" w:rsidRPr="009B5851">
        <w:t xml:space="preserve"> jobs), </w:t>
      </w:r>
      <w:r w:rsidR="00B36360" w:rsidRPr="009B5851">
        <w:t>wineries (7</w:t>
      </w:r>
      <w:r w:rsidR="00B36360">
        <w:t>8</w:t>
      </w:r>
      <w:r w:rsidR="00B36360" w:rsidRPr="009B5851">
        <w:t xml:space="preserve"> jobs),</w:t>
      </w:r>
      <w:r w:rsidR="00975690">
        <w:t xml:space="preserve"> </w:t>
      </w:r>
      <w:r w:rsidR="004E3550" w:rsidRPr="009B5851">
        <w:t>glass container manufacturing (7</w:t>
      </w:r>
      <w:r w:rsidR="00975690">
        <w:t>6</w:t>
      </w:r>
      <w:r w:rsidR="004E3550" w:rsidRPr="009B5851">
        <w:t xml:space="preserve"> jobs), insurance (</w:t>
      </w:r>
      <w:r w:rsidR="00975690">
        <w:t>76</w:t>
      </w:r>
      <w:r w:rsidR="004E3550" w:rsidRPr="009B5851">
        <w:t xml:space="preserve"> jobs)</w:t>
      </w:r>
      <w:r w:rsidR="00975690">
        <w:t>, couriers and messengers (66 jobs),</w:t>
      </w:r>
      <w:r w:rsidR="004E3550" w:rsidRPr="009B5851">
        <w:t xml:space="preserve"> </w:t>
      </w:r>
      <w:r w:rsidR="002C0D14">
        <w:t xml:space="preserve">and </w:t>
      </w:r>
      <w:r w:rsidR="00975690">
        <w:t>marketing</w:t>
      </w:r>
      <w:r w:rsidR="00DC6DCE">
        <w:t>-</w:t>
      </w:r>
      <w:r w:rsidR="00975690">
        <w:t>related industries (66 jobs),</w:t>
      </w:r>
      <w:r w:rsidR="004E3550" w:rsidRPr="009B5851">
        <w:t xml:space="preserve"> among others.</w:t>
      </w:r>
      <w:r w:rsidR="004E3550">
        <w:t xml:space="preserve"> </w:t>
      </w:r>
      <w:r>
        <w:t xml:space="preserve"> </w:t>
      </w:r>
    </w:p>
    <w:p w14:paraId="08DF7CE1" w14:textId="77777777" w:rsidR="004E3550" w:rsidRDefault="004E3550" w:rsidP="00916F19">
      <w:pPr>
        <w:spacing w:after="0"/>
        <w:jc w:val="both"/>
      </w:pPr>
    </w:p>
    <w:p w14:paraId="00C67D36" w14:textId="77777777" w:rsidR="004E3550" w:rsidRDefault="004E3550" w:rsidP="00916F19">
      <w:pPr>
        <w:spacing w:after="0"/>
        <w:jc w:val="both"/>
      </w:pPr>
    </w:p>
    <w:p w14:paraId="59BE404E" w14:textId="77777777" w:rsidR="009B5851" w:rsidRDefault="009B5851" w:rsidP="00916F19">
      <w:pPr>
        <w:spacing w:after="0"/>
        <w:jc w:val="both"/>
      </w:pPr>
    </w:p>
    <w:p w14:paraId="72B5D94F" w14:textId="77777777" w:rsidR="009B5851" w:rsidRDefault="009B5851" w:rsidP="00916F19">
      <w:pPr>
        <w:spacing w:after="0"/>
        <w:jc w:val="both"/>
      </w:pPr>
    </w:p>
    <w:p w14:paraId="455EA35C" w14:textId="77777777" w:rsidR="00916F19" w:rsidRDefault="00916F19" w:rsidP="00916F19">
      <w:pPr>
        <w:pStyle w:val="Heading3"/>
        <w:spacing w:before="0"/>
      </w:pPr>
      <w:r>
        <w:t>Total Gross State Product or Value Added</w:t>
      </w:r>
    </w:p>
    <w:p w14:paraId="5AADDD68" w14:textId="77777777" w:rsidR="00916F19" w:rsidRDefault="00916F19" w:rsidP="00916F19">
      <w:pPr>
        <w:spacing w:after="0"/>
      </w:pPr>
    </w:p>
    <w:p w14:paraId="5B13C894" w14:textId="77777777" w:rsidR="00916F19" w:rsidRDefault="00916F19" w:rsidP="00916F19">
      <w:pPr>
        <w:jc w:val="both"/>
      </w:pPr>
      <w:r>
        <w:lastRenderedPageBreak/>
        <w:t xml:space="preserve">Total gross state product (GSP) is the market value of goods and services produced within the area of analysis, in this case, the State of Texas. It is the regional equivalent to the gross domestic product (GDP) definition for a country. </w:t>
      </w:r>
    </w:p>
    <w:p w14:paraId="2102C1E4" w14:textId="77777777" w:rsidR="00916F19" w:rsidRDefault="00916F19" w:rsidP="00916F19">
      <w:pPr>
        <w:spacing w:after="0"/>
        <w:jc w:val="both"/>
      </w:pPr>
      <w:r>
        <w:t xml:space="preserve">The concept of GDP is similar to value-added: </w:t>
      </w:r>
      <w:r w:rsidRPr="002B6AD1">
        <w:t xml:space="preserve">“Value Added is the sum of Employee Compensation, Proprietor Income, Other Property Income, and Taxes on Production and </w:t>
      </w:r>
      <w:r>
        <w:t>Imports minus Subsidies (TOPI). </w:t>
      </w:r>
      <w:r w:rsidRPr="002B6AD1">
        <w:t>Value-Added + Intermediate Expenditures = Output.</w:t>
      </w:r>
      <w:r>
        <w:t>” </w:t>
      </w:r>
      <w:r>
        <w:rPr>
          <w:rStyle w:val="FootnoteReference"/>
        </w:rPr>
        <w:footnoteReference w:id="6"/>
      </w:r>
    </w:p>
    <w:p w14:paraId="01D4FF6E" w14:textId="77777777" w:rsidR="00916F19" w:rsidRPr="002B6AD1" w:rsidRDefault="00916F19" w:rsidP="00916F19">
      <w:pPr>
        <w:spacing w:after="0"/>
      </w:pPr>
    </w:p>
    <w:tbl>
      <w:tblPr>
        <w:tblW w:w="9317" w:type="dxa"/>
        <w:tblInd w:w="-45" w:type="dxa"/>
        <w:tblLayout w:type="fixed"/>
        <w:tblLook w:val="0000" w:firstRow="0" w:lastRow="0" w:firstColumn="0" w:lastColumn="0" w:noHBand="0" w:noVBand="0"/>
      </w:tblPr>
      <w:tblGrid>
        <w:gridCol w:w="7535"/>
        <w:gridCol w:w="1782"/>
      </w:tblGrid>
      <w:tr w:rsidR="00916F19" w:rsidRPr="009B5851" w14:paraId="61834080" w14:textId="77777777" w:rsidTr="00495990">
        <w:trPr>
          <w:trHeight w:val="875"/>
        </w:trPr>
        <w:tc>
          <w:tcPr>
            <w:tcW w:w="7535" w:type="dxa"/>
            <w:tcBorders>
              <w:top w:val="single" w:sz="4" w:space="0" w:color="auto"/>
              <w:left w:val="single" w:sz="4" w:space="0" w:color="auto"/>
              <w:bottom w:val="single" w:sz="4" w:space="0" w:color="auto"/>
              <w:right w:val="single" w:sz="4" w:space="0" w:color="auto"/>
            </w:tcBorders>
            <w:shd w:val="solid" w:color="C0C0C0" w:fill="auto"/>
          </w:tcPr>
          <w:p w14:paraId="6357C9E5" w14:textId="77777777" w:rsidR="00916F19" w:rsidRDefault="00916F19" w:rsidP="00E01916">
            <w:pPr>
              <w:autoSpaceDE w:val="0"/>
              <w:autoSpaceDN w:val="0"/>
              <w:adjustRightInd w:val="0"/>
              <w:spacing w:after="0" w:line="240" w:lineRule="auto"/>
              <w:jc w:val="center"/>
              <w:rPr>
                <w:rFonts w:ascii="Calibri" w:hAnsi="Calibri" w:cs="Calibri"/>
                <w:b/>
                <w:bCs/>
                <w:color w:val="000000"/>
                <w:sz w:val="22"/>
              </w:rPr>
            </w:pPr>
          </w:p>
          <w:p w14:paraId="39E9331B" w14:textId="0B5B6D54" w:rsidR="00916F19" w:rsidRPr="009B5851" w:rsidRDefault="00916F19" w:rsidP="00E01916">
            <w:pPr>
              <w:autoSpaceDE w:val="0"/>
              <w:autoSpaceDN w:val="0"/>
              <w:adjustRightInd w:val="0"/>
              <w:spacing w:after="0" w:line="240" w:lineRule="auto"/>
              <w:jc w:val="center"/>
              <w:rPr>
                <w:rFonts w:ascii="Calibri" w:hAnsi="Calibri" w:cs="Calibri"/>
                <w:b/>
                <w:bCs/>
                <w:color w:val="000000"/>
                <w:sz w:val="22"/>
              </w:rPr>
            </w:pPr>
            <w:r w:rsidRPr="009B5851">
              <w:rPr>
                <w:rFonts w:ascii="Calibri" w:hAnsi="Calibri" w:cs="Calibri"/>
                <w:b/>
                <w:bCs/>
                <w:color w:val="000000"/>
                <w:sz w:val="22"/>
              </w:rPr>
              <w:t>Gross State Product: Industries Impacted by Distillers</w:t>
            </w:r>
            <w:r w:rsidR="00383309" w:rsidRPr="009B5851">
              <w:rPr>
                <w:rFonts w:ascii="Calibri" w:hAnsi="Calibri" w:cs="Calibri"/>
                <w:b/>
                <w:bCs/>
                <w:color w:val="000000"/>
                <w:sz w:val="22"/>
              </w:rPr>
              <w:t xml:space="preserve"> in 20</w:t>
            </w:r>
            <w:r w:rsidR="005B00C2">
              <w:rPr>
                <w:rFonts w:ascii="Calibri" w:hAnsi="Calibri" w:cs="Calibri"/>
                <w:b/>
                <w:bCs/>
                <w:color w:val="000000"/>
                <w:sz w:val="22"/>
              </w:rPr>
              <w:t>20</w:t>
            </w:r>
          </w:p>
          <w:p w14:paraId="425A6647" w14:textId="77777777" w:rsidR="00916F19" w:rsidRPr="009B5851" w:rsidRDefault="00916F19" w:rsidP="00E01916">
            <w:pPr>
              <w:autoSpaceDE w:val="0"/>
              <w:autoSpaceDN w:val="0"/>
              <w:adjustRightInd w:val="0"/>
              <w:spacing w:after="0" w:line="240" w:lineRule="auto"/>
              <w:jc w:val="center"/>
              <w:rPr>
                <w:rFonts w:ascii="Calibri" w:hAnsi="Calibri" w:cs="Calibri"/>
                <w:b/>
                <w:bCs/>
                <w:color w:val="000000"/>
                <w:sz w:val="22"/>
              </w:rPr>
            </w:pPr>
            <w:r w:rsidRPr="009B5851">
              <w:rPr>
                <w:rFonts w:ascii="Calibri" w:hAnsi="Calibri" w:cs="Calibri"/>
                <w:b/>
                <w:bCs/>
                <w:color w:val="000000"/>
                <w:sz w:val="22"/>
              </w:rPr>
              <w:t>(Total Contributions). In Millions of Dollars</w:t>
            </w:r>
          </w:p>
        </w:tc>
        <w:tc>
          <w:tcPr>
            <w:tcW w:w="1782" w:type="dxa"/>
            <w:tcBorders>
              <w:top w:val="single" w:sz="4" w:space="0" w:color="auto"/>
              <w:left w:val="single" w:sz="4" w:space="0" w:color="auto"/>
              <w:bottom w:val="single" w:sz="4" w:space="0" w:color="auto"/>
              <w:right w:val="single" w:sz="4" w:space="0" w:color="auto"/>
            </w:tcBorders>
            <w:shd w:val="solid" w:color="C0C0C0" w:fill="auto"/>
          </w:tcPr>
          <w:p w14:paraId="211298F9" w14:textId="77777777" w:rsidR="00916F19" w:rsidRPr="009B5851" w:rsidRDefault="00916F19" w:rsidP="00E01916">
            <w:pPr>
              <w:autoSpaceDE w:val="0"/>
              <w:autoSpaceDN w:val="0"/>
              <w:adjustRightInd w:val="0"/>
              <w:spacing w:after="0" w:line="240" w:lineRule="auto"/>
              <w:jc w:val="center"/>
              <w:rPr>
                <w:rFonts w:ascii="Calibri" w:hAnsi="Calibri" w:cs="Calibri"/>
                <w:b/>
                <w:bCs/>
                <w:color w:val="000000"/>
                <w:sz w:val="22"/>
              </w:rPr>
            </w:pPr>
            <w:r w:rsidRPr="009B5851">
              <w:rPr>
                <w:rFonts w:ascii="Calibri" w:hAnsi="Calibri" w:cs="Calibri"/>
                <w:b/>
                <w:bCs/>
                <w:color w:val="000000"/>
                <w:sz w:val="22"/>
              </w:rPr>
              <w:t>Total Contributions  Gross State Product</w:t>
            </w:r>
          </w:p>
        </w:tc>
      </w:tr>
      <w:tr w:rsidR="00DE13E2" w:rsidRPr="009B5851" w14:paraId="27BC3BA4" w14:textId="77777777" w:rsidTr="00495990">
        <w:trPr>
          <w:trHeight w:val="287"/>
        </w:trPr>
        <w:tc>
          <w:tcPr>
            <w:tcW w:w="7535" w:type="dxa"/>
            <w:tcBorders>
              <w:top w:val="single" w:sz="4" w:space="0" w:color="auto"/>
              <w:left w:val="single" w:sz="4" w:space="0" w:color="auto"/>
              <w:bottom w:val="nil"/>
              <w:right w:val="single" w:sz="4" w:space="0" w:color="auto"/>
            </w:tcBorders>
          </w:tcPr>
          <w:p w14:paraId="034E699C" w14:textId="6094E304"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Distilleries</w:t>
            </w:r>
          </w:p>
        </w:tc>
        <w:tc>
          <w:tcPr>
            <w:tcW w:w="1782" w:type="dxa"/>
            <w:tcBorders>
              <w:top w:val="single" w:sz="4" w:space="0" w:color="auto"/>
              <w:left w:val="single" w:sz="4" w:space="0" w:color="auto"/>
              <w:bottom w:val="nil"/>
              <w:right w:val="single" w:sz="4" w:space="0" w:color="auto"/>
            </w:tcBorders>
          </w:tcPr>
          <w:p w14:paraId="723649DB" w14:textId="0FC0006D"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$565.6</w:t>
            </w:r>
          </w:p>
        </w:tc>
      </w:tr>
      <w:tr w:rsidR="00DE13E2" w:rsidRPr="009B5851" w14:paraId="7BE3D896" w14:textId="77777777" w:rsidTr="00495990">
        <w:trPr>
          <w:trHeight w:val="287"/>
        </w:trPr>
        <w:tc>
          <w:tcPr>
            <w:tcW w:w="7535" w:type="dxa"/>
            <w:tcBorders>
              <w:top w:val="nil"/>
              <w:left w:val="single" w:sz="4" w:space="0" w:color="auto"/>
              <w:bottom w:val="nil"/>
              <w:right w:val="single" w:sz="4" w:space="0" w:color="auto"/>
            </w:tcBorders>
          </w:tcPr>
          <w:p w14:paraId="7B48CE54" w14:textId="5FFFE31A"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Wholesale - Other nondurable goods merchant wholesalers</w:t>
            </w:r>
          </w:p>
        </w:tc>
        <w:tc>
          <w:tcPr>
            <w:tcW w:w="1782" w:type="dxa"/>
            <w:tcBorders>
              <w:top w:val="nil"/>
              <w:left w:val="single" w:sz="4" w:space="0" w:color="auto"/>
              <w:bottom w:val="nil"/>
              <w:right w:val="single" w:sz="4" w:space="0" w:color="auto"/>
            </w:tcBorders>
          </w:tcPr>
          <w:p w14:paraId="33205EDB" w14:textId="153AF25B"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$61.6</w:t>
            </w:r>
          </w:p>
        </w:tc>
      </w:tr>
      <w:tr w:rsidR="00DE13E2" w:rsidRPr="009B5851" w14:paraId="58EDD5DF" w14:textId="77777777" w:rsidTr="00495990">
        <w:trPr>
          <w:trHeight w:val="287"/>
        </w:trPr>
        <w:tc>
          <w:tcPr>
            <w:tcW w:w="7535" w:type="dxa"/>
            <w:tcBorders>
              <w:top w:val="nil"/>
              <w:left w:val="single" w:sz="4" w:space="0" w:color="auto"/>
              <w:bottom w:val="nil"/>
              <w:right w:val="single" w:sz="4" w:space="0" w:color="auto"/>
            </w:tcBorders>
          </w:tcPr>
          <w:p w14:paraId="6EF8FB4F" w14:textId="1D42B898"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Wholesale - Machinery, equipment, and supplies</w:t>
            </w:r>
          </w:p>
        </w:tc>
        <w:tc>
          <w:tcPr>
            <w:tcW w:w="1782" w:type="dxa"/>
            <w:tcBorders>
              <w:top w:val="nil"/>
              <w:left w:val="single" w:sz="4" w:space="0" w:color="auto"/>
              <w:bottom w:val="nil"/>
              <w:right w:val="single" w:sz="4" w:space="0" w:color="auto"/>
            </w:tcBorders>
          </w:tcPr>
          <w:p w14:paraId="60CDF99D" w14:textId="426C19C7"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$27.8</w:t>
            </w:r>
          </w:p>
        </w:tc>
      </w:tr>
      <w:tr w:rsidR="00DE13E2" w:rsidRPr="009B5851" w14:paraId="298968FA" w14:textId="77777777" w:rsidTr="00495990">
        <w:trPr>
          <w:trHeight w:val="287"/>
        </w:trPr>
        <w:tc>
          <w:tcPr>
            <w:tcW w:w="7535" w:type="dxa"/>
            <w:tcBorders>
              <w:top w:val="nil"/>
              <w:left w:val="single" w:sz="4" w:space="0" w:color="auto"/>
              <w:bottom w:val="nil"/>
              <w:right w:val="single" w:sz="4" w:space="0" w:color="auto"/>
            </w:tcBorders>
          </w:tcPr>
          <w:p w14:paraId="3732C40C" w14:textId="6D40B212"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Owner-occupied dwellings</w:t>
            </w:r>
          </w:p>
        </w:tc>
        <w:tc>
          <w:tcPr>
            <w:tcW w:w="1782" w:type="dxa"/>
            <w:tcBorders>
              <w:top w:val="nil"/>
              <w:left w:val="single" w:sz="4" w:space="0" w:color="auto"/>
              <w:bottom w:val="nil"/>
              <w:right w:val="single" w:sz="4" w:space="0" w:color="auto"/>
            </w:tcBorders>
          </w:tcPr>
          <w:p w14:paraId="3197D9C0" w14:textId="1B1D5231"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$17.3</w:t>
            </w:r>
          </w:p>
        </w:tc>
      </w:tr>
      <w:tr w:rsidR="00DE13E2" w:rsidRPr="009B5851" w14:paraId="3632EB1F" w14:textId="77777777" w:rsidTr="00495990">
        <w:trPr>
          <w:trHeight w:val="287"/>
        </w:trPr>
        <w:tc>
          <w:tcPr>
            <w:tcW w:w="7535" w:type="dxa"/>
            <w:tcBorders>
              <w:top w:val="nil"/>
              <w:left w:val="single" w:sz="4" w:space="0" w:color="auto"/>
              <w:bottom w:val="nil"/>
              <w:right w:val="single" w:sz="4" w:space="0" w:color="auto"/>
            </w:tcBorders>
          </w:tcPr>
          <w:p w14:paraId="178D0A93" w14:textId="083D7A38"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Glass container manufacturing</w:t>
            </w:r>
          </w:p>
        </w:tc>
        <w:tc>
          <w:tcPr>
            <w:tcW w:w="1782" w:type="dxa"/>
            <w:tcBorders>
              <w:top w:val="nil"/>
              <w:left w:val="single" w:sz="4" w:space="0" w:color="auto"/>
              <w:bottom w:val="nil"/>
              <w:right w:val="single" w:sz="4" w:space="0" w:color="auto"/>
            </w:tcBorders>
          </w:tcPr>
          <w:p w14:paraId="18DB7562" w14:textId="752EC81B"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$13.3</w:t>
            </w:r>
          </w:p>
        </w:tc>
      </w:tr>
      <w:tr w:rsidR="00DE13E2" w:rsidRPr="009B5851" w14:paraId="49DCC30D" w14:textId="77777777" w:rsidTr="00495990">
        <w:trPr>
          <w:trHeight w:val="287"/>
        </w:trPr>
        <w:tc>
          <w:tcPr>
            <w:tcW w:w="7535" w:type="dxa"/>
            <w:tcBorders>
              <w:top w:val="nil"/>
              <w:left w:val="single" w:sz="4" w:space="0" w:color="auto"/>
              <w:bottom w:val="nil"/>
              <w:right w:val="single" w:sz="4" w:space="0" w:color="auto"/>
            </w:tcBorders>
          </w:tcPr>
          <w:p w14:paraId="5A72D8C8" w14:textId="375BF799"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Management of companies and enterprises</w:t>
            </w:r>
          </w:p>
        </w:tc>
        <w:tc>
          <w:tcPr>
            <w:tcW w:w="1782" w:type="dxa"/>
            <w:tcBorders>
              <w:top w:val="nil"/>
              <w:left w:val="single" w:sz="4" w:space="0" w:color="auto"/>
              <w:bottom w:val="nil"/>
              <w:right w:val="single" w:sz="4" w:space="0" w:color="auto"/>
            </w:tcBorders>
          </w:tcPr>
          <w:p w14:paraId="02F3464E" w14:textId="6CF6D23D"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$11.9</w:t>
            </w:r>
          </w:p>
        </w:tc>
      </w:tr>
      <w:tr w:rsidR="00DE13E2" w:rsidRPr="009B5851" w14:paraId="73909503" w14:textId="77777777" w:rsidTr="00495990">
        <w:trPr>
          <w:trHeight w:val="287"/>
        </w:trPr>
        <w:tc>
          <w:tcPr>
            <w:tcW w:w="7535" w:type="dxa"/>
            <w:tcBorders>
              <w:top w:val="nil"/>
              <w:left w:val="single" w:sz="4" w:space="0" w:color="auto"/>
              <w:bottom w:val="nil"/>
              <w:right w:val="single" w:sz="4" w:space="0" w:color="auto"/>
            </w:tcBorders>
          </w:tcPr>
          <w:p w14:paraId="3533A3B7" w14:textId="2F1F254C"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Other real estate</w:t>
            </w:r>
          </w:p>
        </w:tc>
        <w:tc>
          <w:tcPr>
            <w:tcW w:w="1782" w:type="dxa"/>
            <w:tcBorders>
              <w:top w:val="nil"/>
              <w:left w:val="single" w:sz="4" w:space="0" w:color="auto"/>
              <w:bottom w:val="nil"/>
              <w:right w:val="single" w:sz="4" w:space="0" w:color="auto"/>
            </w:tcBorders>
          </w:tcPr>
          <w:p w14:paraId="191C73BB" w14:textId="21C585B9"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$11.9</w:t>
            </w:r>
          </w:p>
        </w:tc>
      </w:tr>
      <w:tr w:rsidR="00DE13E2" w:rsidRPr="009B5851" w14:paraId="49D9CD48" w14:textId="77777777" w:rsidTr="00495990">
        <w:trPr>
          <w:trHeight w:val="287"/>
        </w:trPr>
        <w:tc>
          <w:tcPr>
            <w:tcW w:w="7535" w:type="dxa"/>
            <w:tcBorders>
              <w:top w:val="nil"/>
              <w:left w:val="single" w:sz="4" w:space="0" w:color="auto"/>
              <w:bottom w:val="nil"/>
              <w:right w:val="single" w:sz="4" w:space="0" w:color="auto"/>
            </w:tcBorders>
          </w:tcPr>
          <w:p w14:paraId="0CB18A41" w14:textId="0DC2761E"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Truck transportation</w:t>
            </w:r>
          </w:p>
        </w:tc>
        <w:tc>
          <w:tcPr>
            <w:tcW w:w="1782" w:type="dxa"/>
            <w:tcBorders>
              <w:top w:val="nil"/>
              <w:left w:val="single" w:sz="4" w:space="0" w:color="auto"/>
              <w:bottom w:val="nil"/>
              <w:right w:val="single" w:sz="4" w:space="0" w:color="auto"/>
            </w:tcBorders>
          </w:tcPr>
          <w:p w14:paraId="1211A453" w14:textId="6656A743"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$11.9</w:t>
            </w:r>
          </w:p>
        </w:tc>
      </w:tr>
      <w:tr w:rsidR="00DE13E2" w:rsidRPr="009B5851" w14:paraId="7DBD2457" w14:textId="77777777" w:rsidTr="00495990">
        <w:trPr>
          <w:trHeight w:val="287"/>
        </w:trPr>
        <w:tc>
          <w:tcPr>
            <w:tcW w:w="7535" w:type="dxa"/>
            <w:tcBorders>
              <w:top w:val="nil"/>
              <w:left w:val="single" w:sz="4" w:space="0" w:color="auto"/>
              <w:bottom w:val="nil"/>
              <w:right w:val="single" w:sz="4" w:space="0" w:color="auto"/>
            </w:tcBorders>
          </w:tcPr>
          <w:p w14:paraId="43A527C9" w14:textId="45FAD916"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Marketing related industries</w:t>
            </w:r>
          </w:p>
        </w:tc>
        <w:tc>
          <w:tcPr>
            <w:tcW w:w="1782" w:type="dxa"/>
            <w:tcBorders>
              <w:top w:val="nil"/>
              <w:left w:val="single" w:sz="4" w:space="0" w:color="auto"/>
              <w:bottom w:val="nil"/>
              <w:right w:val="single" w:sz="4" w:space="0" w:color="auto"/>
            </w:tcBorders>
          </w:tcPr>
          <w:p w14:paraId="31F421B0" w14:textId="634C710C"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$10.7</w:t>
            </w:r>
          </w:p>
        </w:tc>
      </w:tr>
      <w:tr w:rsidR="00DE13E2" w:rsidRPr="009B5851" w14:paraId="6C5AB39B" w14:textId="77777777" w:rsidTr="00495990">
        <w:trPr>
          <w:trHeight w:val="287"/>
        </w:trPr>
        <w:tc>
          <w:tcPr>
            <w:tcW w:w="7535" w:type="dxa"/>
            <w:tcBorders>
              <w:top w:val="nil"/>
              <w:left w:val="single" w:sz="4" w:space="0" w:color="auto"/>
              <w:bottom w:val="nil"/>
              <w:right w:val="single" w:sz="4" w:space="0" w:color="auto"/>
            </w:tcBorders>
          </w:tcPr>
          <w:p w14:paraId="5C2821C7" w14:textId="51DE38CD"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Monetary authorities and depository credit intermediation</w:t>
            </w:r>
          </w:p>
        </w:tc>
        <w:tc>
          <w:tcPr>
            <w:tcW w:w="1782" w:type="dxa"/>
            <w:tcBorders>
              <w:top w:val="nil"/>
              <w:left w:val="single" w:sz="4" w:space="0" w:color="auto"/>
              <w:bottom w:val="nil"/>
              <w:right w:val="single" w:sz="4" w:space="0" w:color="auto"/>
            </w:tcBorders>
          </w:tcPr>
          <w:p w14:paraId="0AA4B905" w14:textId="12593A7E"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$7.7</w:t>
            </w:r>
          </w:p>
        </w:tc>
      </w:tr>
      <w:tr w:rsidR="00DE13E2" w:rsidRPr="009B5851" w14:paraId="73444BA0" w14:textId="77777777" w:rsidTr="00495990">
        <w:trPr>
          <w:trHeight w:val="287"/>
        </w:trPr>
        <w:tc>
          <w:tcPr>
            <w:tcW w:w="7535" w:type="dxa"/>
            <w:tcBorders>
              <w:top w:val="nil"/>
              <w:left w:val="single" w:sz="4" w:space="0" w:color="auto"/>
              <w:bottom w:val="nil"/>
              <w:right w:val="single" w:sz="4" w:space="0" w:color="auto"/>
            </w:tcBorders>
          </w:tcPr>
          <w:p w14:paraId="6EA92363" w14:textId="367F320A"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Insurance agencies, brokerages, and related activities</w:t>
            </w:r>
          </w:p>
        </w:tc>
        <w:tc>
          <w:tcPr>
            <w:tcW w:w="1782" w:type="dxa"/>
            <w:tcBorders>
              <w:top w:val="nil"/>
              <w:left w:val="single" w:sz="4" w:space="0" w:color="auto"/>
              <w:bottom w:val="nil"/>
              <w:right w:val="single" w:sz="4" w:space="0" w:color="auto"/>
            </w:tcBorders>
          </w:tcPr>
          <w:p w14:paraId="69BF8453" w14:textId="0F6D94FA"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$7.4</w:t>
            </w:r>
          </w:p>
        </w:tc>
      </w:tr>
      <w:tr w:rsidR="00DE13E2" w:rsidRPr="009B5851" w14:paraId="3F8BE677" w14:textId="77777777" w:rsidTr="00495990">
        <w:trPr>
          <w:trHeight w:val="287"/>
        </w:trPr>
        <w:tc>
          <w:tcPr>
            <w:tcW w:w="7535" w:type="dxa"/>
            <w:tcBorders>
              <w:top w:val="nil"/>
              <w:left w:val="single" w:sz="4" w:space="0" w:color="auto"/>
              <w:bottom w:val="nil"/>
              <w:right w:val="single" w:sz="4" w:space="0" w:color="auto"/>
            </w:tcBorders>
          </w:tcPr>
          <w:p w14:paraId="1E163369" w14:textId="613344BE"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Insurance carriers, except direct life</w:t>
            </w:r>
          </w:p>
        </w:tc>
        <w:tc>
          <w:tcPr>
            <w:tcW w:w="1782" w:type="dxa"/>
            <w:tcBorders>
              <w:top w:val="nil"/>
              <w:left w:val="single" w:sz="4" w:space="0" w:color="auto"/>
              <w:bottom w:val="nil"/>
              <w:right w:val="single" w:sz="4" w:space="0" w:color="auto"/>
            </w:tcBorders>
          </w:tcPr>
          <w:p w14:paraId="54BF0767" w14:textId="01AE9F83"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$6.0</w:t>
            </w:r>
          </w:p>
        </w:tc>
      </w:tr>
      <w:tr w:rsidR="00DE13E2" w:rsidRPr="009B5851" w14:paraId="7D921228" w14:textId="77777777" w:rsidTr="00495990">
        <w:trPr>
          <w:trHeight w:val="287"/>
        </w:trPr>
        <w:tc>
          <w:tcPr>
            <w:tcW w:w="7535" w:type="dxa"/>
            <w:tcBorders>
              <w:top w:val="nil"/>
              <w:left w:val="single" w:sz="4" w:space="0" w:color="auto"/>
              <w:bottom w:val="nil"/>
              <w:right w:val="single" w:sz="4" w:space="0" w:color="auto"/>
            </w:tcBorders>
          </w:tcPr>
          <w:p w14:paraId="75153A38" w14:textId="2282437D"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Employment services</w:t>
            </w:r>
          </w:p>
        </w:tc>
        <w:tc>
          <w:tcPr>
            <w:tcW w:w="1782" w:type="dxa"/>
            <w:tcBorders>
              <w:top w:val="nil"/>
              <w:left w:val="single" w:sz="4" w:space="0" w:color="auto"/>
              <w:bottom w:val="nil"/>
              <w:right w:val="single" w:sz="4" w:space="0" w:color="auto"/>
            </w:tcBorders>
          </w:tcPr>
          <w:p w14:paraId="4A677220" w14:textId="6296F105"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$5.8</w:t>
            </w:r>
          </w:p>
        </w:tc>
      </w:tr>
      <w:tr w:rsidR="00DE13E2" w:rsidRPr="009B5851" w14:paraId="54A6EF2A" w14:textId="77777777" w:rsidTr="00495990">
        <w:trPr>
          <w:trHeight w:val="287"/>
        </w:trPr>
        <w:tc>
          <w:tcPr>
            <w:tcW w:w="7535" w:type="dxa"/>
            <w:tcBorders>
              <w:top w:val="nil"/>
              <w:left w:val="single" w:sz="4" w:space="0" w:color="auto"/>
              <w:bottom w:val="nil"/>
              <w:right w:val="single" w:sz="4" w:space="0" w:color="auto"/>
            </w:tcBorders>
          </w:tcPr>
          <w:p w14:paraId="0656ECEB" w14:textId="668F51C9"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Tenant-occupied housing</w:t>
            </w:r>
          </w:p>
        </w:tc>
        <w:tc>
          <w:tcPr>
            <w:tcW w:w="1782" w:type="dxa"/>
            <w:tcBorders>
              <w:top w:val="nil"/>
              <w:left w:val="single" w:sz="4" w:space="0" w:color="auto"/>
              <w:bottom w:val="nil"/>
              <w:right w:val="single" w:sz="4" w:space="0" w:color="auto"/>
            </w:tcBorders>
          </w:tcPr>
          <w:p w14:paraId="4FCBB336" w14:textId="21A7FB2B"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$5.1</w:t>
            </w:r>
          </w:p>
        </w:tc>
      </w:tr>
      <w:tr w:rsidR="00DE13E2" w:rsidRPr="009B5851" w14:paraId="1B03A4BF" w14:textId="77777777" w:rsidTr="00495990">
        <w:trPr>
          <w:trHeight w:val="287"/>
        </w:trPr>
        <w:tc>
          <w:tcPr>
            <w:tcW w:w="7535" w:type="dxa"/>
            <w:tcBorders>
              <w:top w:val="nil"/>
              <w:left w:val="single" w:sz="4" w:space="0" w:color="auto"/>
              <w:bottom w:val="nil"/>
              <w:right w:val="single" w:sz="4" w:space="0" w:color="auto"/>
            </w:tcBorders>
          </w:tcPr>
          <w:p w14:paraId="23320237" w14:textId="03CC3A2C"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Accounting, tax preparation, bookkeeping, and payroll services</w:t>
            </w:r>
          </w:p>
        </w:tc>
        <w:tc>
          <w:tcPr>
            <w:tcW w:w="1782" w:type="dxa"/>
            <w:tcBorders>
              <w:top w:val="nil"/>
              <w:left w:val="single" w:sz="4" w:space="0" w:color="auto"/>
              <w:bottom w:val="nil"/>
              <w:right w:val="single" w:sz="4" w:space="0" w:color="auto"/>
            </w:tcBorders>
          </w:tcPr>
          <w:p w14:paraId="508BB74B" w14:textId="584E53F1"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$4.8</w:t>
            </w:r>
          </w:p>
        </w:tc>
      </w:tr>
      <w:tr w:rsidR="00DE13E2" w:rsidRPr="009B5851" w14:paraId="4CBC48AB" w14:textId="77777777" w:rsidTr="00495990">
        <w:trPr>
          <w:trHeight w:val="287"/>
        </w:trPr>
        <w:tc>
          <w:tcPr>
            <w:tcW w:w="7535" w:type="dxa"/>
            <w:tcBorders>
              <w:top w:val="nil"/>
              <w:left w:val="single" w:sz="4" w:space="0" w:color="auto"/>
              <w:bottom w:val="nil"/>
              <w:right w:val="single" w:sz="4" w:space="0" w:color="auto"/>
            </w:tcBorders>
          </w:tcPr>
          <w:p w14:paraId="75D3E775" w14:textId="569D90C4"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Electric power transmission and distribution</w:t>
            </w:r>
          </w:p>
        </w:tc>
        <w:tc>
          <w:tcPr>
            <w:tcW w:w="1782" w:type="dxa"/>
            <w:tcBorders>
              <w:top w:val="nil"/>
              <w:left w:val="single" w:sz="4" w:space="0" w:color="auto"/>
              <w:bottom w:val="nil"/>
              <w:right w:val="single" w:sz="4" w:space="0" w:color="auto"/>
            </w:tcBorders>
          </w:tcPr>
          <w:p w14:paraId="5D637CEC" w14:textId="049EC8A0"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$4.7</w:t>
            </w:r>
          </w:p>
        </w:tc>
      </w:tr>
      <w:tr w:rsidR="00DE13E2" w:rsidRPr="009B5851" w14:paraId="6113B355" w14:textId="77777777" w:rsidTr="00495990">
        <w:trPr>
          <w:trHeight w:val="287"/>
        </w:trPr>
        <w:tc>
          <w:tcPr>
            <w:tcW w:w="7535" w:type="dxa"/>
            <w:tcBorders>
              <w:top w:val="nil"/>
              <w:left w:val="single" w:sz="4" w:space="0" w:color="auto"/>
              <w:bottom w:val="nil"/>
              <w:right w:val="single" w:sz="4" w:space="0" w:color="auto"/>
            </w:tcBorders>
          </w:tcPr>
          <w:p w14:paraId="6E3CA747" w14:textId="7D6BF01C"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Legal services</w:t>
            </w:r>
          </w:p>
        </w:tc>
        <w:tc>
          <w:tcPr>
            <w:tcW w:w="1782" w:type="dxa"/>
            <w:tcBorders>
              <w:top w:val="nil"/>
              <w:left w:val="single" w:sz="4" w:space="0" w:color="auto"/>
              <w:bottom w:val="nil"/>
              <w:right w:val="single" w:sz="4" w:space="0" w:color="auto"/>
            </w:tcBorders>
          </w:tcPr>
          <w:p w14:paraId="27EA42DC" w14:textId="396ABAF7"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$4.7</w:t>
            </w:r>
          </w:p>
        </w:tc>
      </w:tr>
      <w:tr w:rsidR="00DE13E2" w:rsidRPr="009B5851" w14:paraId="4032ABF0" w14:textId="77777777" w:rsidTr="00495990">
        <w:trPr>
          <w:trHeight w:val="301"/>
        </w:trPr>
        <w:tc>
          <w:tcPr>
            <w:tcW w:w="7535" w:type="dxa"/>
            <w:tcBorders>
              <w:top w:val="nil"/>
              <w:left w:val="single" w:sz="4" w:space="0" w:color="auto"/>
              <w:bottom w:val="single" w:sz="4" w:space="0" w:color="auto"/>
              <w:right w:val="single" w:sz="4" w:space="0" w:color="auto"/>
            </w:tcBorders>
          </w:tcPr>
          <w:p w14:paraId="0986DB9C" w14:textId="60AA4BBF" w:rsidR="00DE13E2" w:rsidRPr="00DE13E2" w:rsidRDefault="00DE13E2" w:rsidP="00DE13E2">
            <w:pPr>
              <w:autoSpaceDE w:val="0"/>
              <w:autoSpaceDN w:val="0"/>
              <w:adjustRightInd w:val="0"/>
              <w:spacing w:after="0" w:line="240" w:lineRule="auto"/>
              <w:rPr>
                <w:rFonts w:ascii="Calibri" w:hAnsi="Calibri" w:cs="Calibri"/>
                <w:color w:val="000000"/>
                <w:sz w:val="20"/>
                <w:szCs w:val="20"/>
              </w:rPr>
            </w:pPr>
            <w:r w:rsidRPr="00DE13E2">
              <w:rPr>
                <w:rFonts w:ascii="Calibri" w:hAnsi="Calibri" w:cs="Calibri"/>
                <w:color w:val="000000"/>
                <w:sz w:val="20"/>
                <w:szCs w:val="20"/>
              </w:rPr>
              <w:t>Nondepository credit intermediation and related activities</w:t>
            </w:r>
          </w:p>
        </w:tc>
        <w:tc>
          <w:tcPr>
            <w:tcW w:w="1782" w:type="dxa"/>
            <w:tcBorders>
              <w:top w:val="nil"/>
              <w:left w:val="single" w:sz="4" w:space="0" w:color="auto"/>
              <w:bottom w:val="single" w:sz="4" w:space="0" w:color="auto"/>
              <w:right w:val="single" w:sz="4" w:space="0" w:color="auto"/>
            </w:tcBorders>
          </w:tcPr>
          <w:p w14:paraId="15A39909" w14:textId="36838B7C" w:rsidR="00DE13E2" w:rsidRPr="00DE13E2" w:rsidRDefault="00DE13E2" w:rsidP="005665ED">
            <w:pPr>
              <w:autoSpaceDE w:val="0"/>
              <w:autoSpaceDN w:val="0"/>
              <w:adjustRightInd w:val="0"/>
              <w:spacing w:after="0" w:line="240" w:lineRule="auto"/>
              <w:jc w:val="center"/>
              <w:rPr>
                <w:rFonts w:ascii="Calibri" w:hAnsi="Calibri" w:cs="Calibri"/>
                <w:color w:val="000000"/>
                <w:sz w:val="20"/>
                <w:szCs w:val="20"/>
              </w:rPr>
            </w:pPr>
            <w:r w:rsidRPr="00DE13E2">
              <w:rPr>
                <w:rFonts w:ascii="Calibri" w:hAnsi="Calibri" w:cs="Calibri"/>
                <w:color w:val="000000"/>
                <w:sz w:val="20"/>
                <w:szCs w:val="20"/>
              </w:rPr>
              <w:t>$4.0</w:t>
            </w:r>
          </w:p>
        </w:tc>
      </w:tr>
    </w:tbl>
    <w:p w14:paraId="72FADC78" w14:textId="77777777" w:rsidR="00916F19" w:rsidRPr="009B5851" w:rsidRDefault="0086740D" w:rsidP="00916F19">
      <w:pPr>
        <w:spacing w:after="0"/>
        <w:jc w:val="both"/>
        <w:rPr>
          <w:sz w:val="18"/>
          <w:szCs w:val="18"/>
        </w:rPr>
      </w:pPr>
      <w:r w:rsidRPr="009B5851">
        <w:rPr>
          <w:sz w:val="18"/>
          <w:szCs w:val="18"/>
        </w:rPr>
        <w:t>Source: IMPLAN online platform</w:t>
      </w:r>
      <w:r w:rsidR="00916F19" w:rsidRPr="009B5851">
        <w:rPr>
          <w:sz w:val="18"/>
          <w:szCs w:val="18"/>
        </w:rPr>
        <w:t>. Elaboration: J. Oyakawa.</w:t>
      </w:r>
    </w:p>
    <w:p w14:paraId="1CE8CFF9" w14:textId="77777777" w:rsidR="00916F19" w:rsidRPr="009B5851" w:rsidRDefault="00916F19" w:rsidP="00916F19">
      <w:pPr>
        <w:spacing w:after="0"/>
        <w:jc w:val="both"/>
      </w:pPr>
    </w:p>
    <w:p w14:paraId="2A7F37FC" w14:textId="4B9AE223" w:rsidR="00916F19" w:rsidRDefault="00916F19" w:rsidP="00916F19">
      <w:pPr>
        <w:spacing w:after="0"/>
        <w:jc w:val="both"/>
      </w:pPr>
      <w:r w:rsidRPr="009B5851">
        <w:t xml:space="preserve">From the GSP total contributions, the most </w:t>
      </w:r>
      <w:r w:rsidR="00F47F3B">
        <w:t>affected</w:t>
      </w:r>
      <w:r w:rsidRPr="009B5851">
        <w:t xml:space="preserve"> industry is distilleries itself with close to $</w:t>
      </w:r>
      <w:r w:rsidR="00C158B5" w:rsidRPr="009B5851">
        <w:t>5</w:t>
      </w:r>
      <w:r w:rsidR="006C1D00">
        <w:t>65.6</w:t>
      </w:r>
      <w:r w:rsidRPr="009B5851">
        <w:t xml:space="preserve"> million, followed by wholesale trade</w:t>
      </w:r>
      <w:r w:rsidR="00C158B5" w:rsidRPr="009B5851">
        <w:t xml:space="preserve"> for nondurables</w:t>
      </w:r>
      <w:r w:rsidRPr="009B5851">
        <w:t xml:space="preserve"> ($</w:t>
      </w:r>
      <w:r w:rsidR="006C1D00">
        <w:t>61.6</w:t>
      </w:r>
      <w:r w:rsidRPr="009B5851">
        <w:t xml:space="preserve"> million), </w:t>
      </w:r>
      <w:r w:rsidR="00C158B5" w:rsidRPr="009B5851">
        <w:t>wholesale for machinery ($2</w:t>
      </w:r>
      <w:r w:rsidR="00AC538C">
        <w:t>7.8</w:t>
      </w:r>
      <w:r w:rsidR="00C158B5" w:rsidRPr="009B5851">
        <w:t xml:space="preserve"> million),</w:t>
      </w:r>
      <w:r w:rsidR="00AC538C">
        <w:t xml:space="preserve"> </w:t>
      </w:r>
      <w:r w:rsidR="00AC538C" w:rsidRPr="00AC538C">
        <w:t>Owner-occupied dwellings</w:t>
      </w:r>
      <w:r w:rsidR="00AC538C">
        <w:t xml:space="preserve"> ($17.3 million),</w:t>
      </w:r>
      <w:r w:rsidR="00C158B5" w:rsidRPr="009B5851">
        <w:t xml:space="preserve"> glass container manufacturing ($1</w:t>
      </w:r>
      <w:r w:rsidR="00AC538C">
        <w:t>3.3</w:t>
      </w:r>
      <w:r w:rsidR="00C158B5" w:rsidRPr="009B5851">
        <w:t xml:space="preserve"> million), </w:t>
      </w:r>
      <w:r w:rsidR="00D853CF">
        <w:t>m</w:t>
      </w:r>
      <w:r w:rsidR="00AC538C" w:rsidRPr="00AC538C">
        <w:t>anagement of companies and enterprises</w:t>
      </w:r>
      <w:r w:rsidR="00AC538C">
        <w:t xml:space="preserve"> ($11.9 million),</w:t>
      </w:r>
      <w:r w:rsidR="00AC538C" w:rsidRPr="009B5851">
        <w:t xml:space="preserve"> </w:t>
      </w:r>
      <w:r w:rsidR="00C158B5" w:rsidRPr="009B5851">
        <w:t xml:space="preserve">other </w:t>
      </w:r>
      <w:r w:rsidRPr="009B5851">
        <w:t>real estate agents ($</w:t>
      </w:r>
      <w:r w:rsidR="00AC538C">
        <w:t>11.9</w:t>
      </w:r>
      <w:r w:rsidRPr="009B5851">
        <w:t xml:space="preserve"> million), </w:t>
      </w:r>
      <w:r w:rsidR="00AC538C">
        <w:t xml:space="preserve">truck transportation ($11.9 million), </w:t>
      </w:r>
      <w:r w:rsidR="00C158B5" w:rsidRPr="009B5851">
        <w:t xml:space="preserve">and </w:t>
      </w:r>
      <w:r w:rsidRPr="009B5851">
        <w:t>marketing and advertisement ($</w:t>
      </w:r>
      <w:r w:rsidR="00AC538C">
        <w:t>10.7</w:t>
      </w:r>
      <w:r w:rsidRPr="009B5851">
        <w:t xml:space="preserve"> million). Then, monetary authorities ($</w:t>
      </w:r>
      <w:r w:rsidR="00AC538C">
        <w:t>7</w:t>
      </w:r>
      <w:r w:rsidR="00C158B5" w:rsidRPr="009B5851">
        <w:t>.7</w:t>
      </w:r>
      <w:r w:rsidRPr="009B5851">
        <w:t xml:space="preserve"> million),</w:t>
      </w:r>
      <w:r w:rsidR="00AC538C">
        <w:t xml:space="preserve"> and </w:t>
      </w:r>
      <w:r w:rsidR="00AC538C" w:rsidRPr="009B5851">
        <w:t>insurance ($7.</w:t>
      </w:r>
      <w:r w:rsidR="00AC538C">
        <w:t>4</w:t>
      </w:r>
      <w:r w:rsidR="00AC538C" w:rsidRPr="009B5851">
        <w:t xml:space="preserve"> million),</w:t>
      </w:r>
      <w:r w:rsidRPr="009B5851">
        <w:t xml:space="preserve"> along with others.</w:t>
      </w:r>
    </w:p>
    <w:p w14:paraId="19A946E5" w14:textId="77777777" w:rsidR="00AC538C" w:rsidRDefault="00AC538C" w:rsidP="00916F19">
      <w:pPr>
        <w:spacing w:after="0"/>
        <w:jc w:val="both"/>
      </w:pPr>
    </w:p>
    <w:p w14:paraId="6D937EAF" w14:textId="77777777" w:rsidR="00916F19" w:rsidRDefault="00916F19" w:rsidP="00916F19">
      <w:pPr>
        <w:pStyle w:val="Heading2"/>
        <w:spacing w:before="0"/>
      </w:pPr>
      <w:bookmarkStart w:id="3" w:name="_Toc34397455"/>
      <w:r>
        <w:lastRenderedPageBreak/>
        <w:t>S</w:t>
      </w:r>
      <w:r w:rsidRPr="00586E05">
        <w:t>upply Chain</w:t>
      </w:r>
      <w:bookmarkEnd w:id="3"/>
    </w:p>
    <w:p w14:paraId="4E6FEBFF" w14:textId="77777777" w:rsidR="00916F19" w:rsidRPr="005C0777" w:rsidRDefault="00916F19" w:rsidP="00916F19">
      <w:pPr>
        <w:spacing w:after="0"/>
      </w:pPr>
    </w:p>
    <w:p w14:paraId="36BD692F" w14:textId="77777777" w:rsidR="00916F19" w:rsidRDefault="00916F19" w:rsidP="00916F19">
      <w:pPr>
        <w:jc w:val="both"/>
      </w:pPr>
      <w:r>
        <w:t xml:space="preserve">From a supplier perspective, the indirect contributions are relevant (the induced effects add the expenditures of workers on food and entertainment to those contributions, but they are not required from a supply chain point of view), as they </w:t>
      </w:r>
      <w:r w:rsidR="00400FA9">
        <w:t>show</w:t>
      </w:r>
      <w:r>
        <w:t xml:space="preserve"> the intermediate demand of goods and services needed for the distillers' production.</w:t>
      </w:r>
    </w:p>
    <w:p w14:paraId="0AC966DA" w14:textId="0CE865C8" w:rsidR="00495990" w:rsidRDefault="00916F19" w:rsidP="00916F19">
      <w:pPr>
        <w:spacing w:after="0"/>
        <w:jc w:val="both"/>
      </w:pPr>
      <w:r w:rsidRPr="00753D14">
        <w:t xml:space="preserve">From the indirect output contributions, </w:t>
      </w:r>
      <w:r w:rsidR="004A7F55">
        <w:t>some of the</w:t>
      </w:r>
      <w:r w:rsidRPr="00753D14">
        <w:t xml:space="preserve"> top suppliers' </w:t>
      </w:r>
      <w:r w:rsidR="00ED1685" w:rsidRPr="00753D14">
        <w:t>are</w:t>
      </w:r>
      <w:r w:rsidRPr="00753D14">
        <w:t xml:space="preserve"> the </w:t>
      </w:r>
      <w:r w:rsidR="00ED1685" w:rsidRPr="00753D14">
        <w:t xml:space="preserve">two </w:t>
      </w:r>
      <w:r w:rsidRPr="00753D14">
        <w:t>group</w:t>
      </w:r>
      <w:r w:rsidR="00ED1685" w:rsidRPr="00753D14">
        <w:t>s</w:t>
      </w:r>
      <w:r w:rsidRPr="00753D14">
        <w:t xml:space="preserve"> of wholesalers (NAICS 424820). </w:t>
      </w:r>
      <w:r w:rsidR="0073010D" w:rsidRPr="00753D14">
        <w:t xml:space="preserve">They are </w:t>
      </w:r>
      <w:r w:rsidRPr="00753D14">
        <w:t xml:space="preserve">followed by glass container manufacturing (NAICS 327213), truck transportation (NAICS 484), </w:t>
      </w:r>
      <w:r w:rsidR="0073010D" w:rsidRPr="00753D14">
        <w:t xml:space="preserve">other </w:t>
      </w:r>
      <w:r w:rsidRPr="00753D14">
        <w:t>real estate rental leasing (NAICS 5311),</w:t>
      </w:r>
      <w:r w:rsidR="0073010D" w:rsidRPr="00753D14">
        <w:t xml:space="preserve"> management of companies and enterprises (NAICS 5511), </w:t>
      </w:r>
      <w:r w:rsidRPr="00753D14">
        <w:t xml:space="preserve"> </w:t>
      </w:r>
      <w:r w:rsidR="0073010D" w:rsidRPr="00753D14">
        <w:t xml:space="preserve">marketing and advertising (various NAICS), insurance agencies (NAICS 5242), wineries (NAICS 312130),  </w:t>
      </w:r>
      <w:r w:rsidRPr="00753D14">
        <w:t>among others. The group marketing and advertising includes several industries: advertising</w:t>
      </w:r>
      <w:r w:rsidR="0073010D" w:rsidRPr="00753D14">
        <w:t xml:space="preserve"> and</w:t>
      </w:r>
      <w:r w:rsidRPr="00753D14">
        <w:t xml:space="preserve"> public relations</w:t>
      </w:r>
      <w:r w:rsidR="0073010D" w:rsidRPr="00753D14">
        <w:t>,</w:t>
      </w:r>
      <w:r w:rsidRPr="00753D14">
        <w:t xml:space="preserve"> photographic services</w:t>
      </w:r>
      <w:r w:rsidR="0073010D" w:rsidRPr="00753D14">
        <w:t>,</w:t>
      </w:r>
      <w:r w:rsidRPr="00753D14">
        <w:t xml:space="preserve"> marketing research; part of the management consulting services</w:t>
      </w:r>
      <w:r w:rsidR="0073010D" w:rsidRPr="00753D14">
        <w:t>,</w:t>
      </w:r>
      <w:r w:rsidRPr="00753D14">
        <w:t xml:space="preserve"> internet publishing and web search portals</w:t>
      </w:r>
      <w:r w:rsidR="0073010D" w:rsidRPr="00753D14">
        <w:t>,</w:t>
      </w:r>
      <w:r w:rsidRPr="00753D14">
        <w:t xml:space="preserve"> news syndicates</w:t>
      </w:r>
      <w:r w:rsidR="0073010D" w:rsidRPr="00753D14">
        <w:t>,</w:t>
      </w:r>
      <w:r w:rsidRPr="00753D14">
        <w:t xml:space="preserve"> radio and television; newspapers</w:t>
      </w:r>
      <w:r w:rsidR="0073010D" w:rsidRPr="00753D14">
        <w:t>,</w:t>
      </w:r>
      <w:r w:rsidRPr="00753D14">
        <w:t xml:space="preserve"> and other periodical publishers.</w:t>
      </w:r>
    </w:p>
    <w:p w14:paraId="656579EF" w14:textId="77777777" w:rsidR="00A4179C" w:rsidRPr="00753D14" w:rsidRDefault="00A4179C" w:rsidP="00916F19">
      <w:pPr>
        <w:spacing w:after="0"/>
        <w:jc w:val="both"/>
      </w:pPr>
    </w:p>
    <w:tbl>
      <w:tblPr>
        <w:tblW w:w="9461" w:type="dxa"/>
        <w:tblInd w:w="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55"/>
        <w:gridCol w:w="2106"/>
      </w:tblGrid>
      <w:tr w:rsidR="00916F19" w:rsidRPr="00753D14" w14:paraId="610584A2" w14:textId="77777777" w:rsidTr="005665ED">
        <w:trPr>
          <w:trHeight w:val="710"/>
        </w:trPr>
        <w:tc>
          <w:tcPr>
            <w:tcW w:w="7355" w:type="dxa"/>
            <w:tcBorders>
              <w:top w:val="single" w:sz="4" w:space="0" w:color="auto"/>
              <w:left w:val="single" w:sz="4" w:space="0" w:color="auto"/>
              <w:bottom w:val="single" w:sz="4" w:space="0" w:color="auto"/>
            </w:tcBorders>
            <w:shd w:val="solid" w:color="C0C0C0" w:fill="auto"/>
          </w:tcPr>
          <w:p w14:paraId="6B7B67F3" w14:textId="53EE74A5"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Output: Industries Suppliers for Distillers</w:t>
            </w:r>
            <w:r w:rsidR="00D53EF4" w:rsidRPr="00753D14">
              <w:rPr>
                <w:rFonts w:ascii="Calibri" w:hAnsi="Calibri" w:cs="Calibri"/>
                <w:b/>
                <w:bCs/>
                <w:color w:val="000000"/>
              </w:rPr>
              <w:t xml:space="preserve"> in 20</w:t>
            </w:r>
            <w:r w:rsidR="00594F3E">
              <w:rPr>
                <w:rFonts w:ascii="Calibri" w:hAnsi="Calibri" w:cs="Calibri"/>
                <w:b/>
                <w:bCs/>
                <w:color w:val="000000"/>
              </w:rPr>
              <w:t>20</w:t>
            </w:r>
          </w:p>
          <w:p w14:paraId="784FBC4D" w14:textId="77777777"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(Only Indirect Contributions).</w:t>
            </w:r>
          </w:p>
          <w:p w14:paraId="25F7CCE3" w14:textId="77777777"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In Millions of Dollars</w:t>
            </w:r>
          </w:p>
        </w:tc>
        <w:tc>
          <w:tcPr>
            <w:tcW w:w="2106" w:type="dxa"/>
            <w:tcBorders>
              <w:top w:val="single" w:sz="4" w:space="0" w:color="auto"/>
              <w:bottom w:val="single" w:sz="4" w:space="0" w:color="auto"/>
              <w:right w:val="single" w:sz="4" w:space="0" w:color="auto"/>
            </w:tcBorders>
            <w:shd w:val="solid" w:color="C0C0C0" w:fill="auto"/>
          </w:tcPr>
          <w:p w14:paraId="2E7BDE22" w14:textId="77777777"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Indirect Contribution Output</w:t>
            </w:r>
          </w:p>
        </w:tc>
      </w:tr>
      <w:tr w:rsidR="00594F3E" w:rsidRPr="00753D14" w14:paraId="79C4B7A2" w14:textId="77777777" w:rsidTr="005665ED">
        <w:trPr>
          <w:trHeight w:val="287"/>
        </w:trPr>
        <w:tc>
          <w:tcPr>
            <w:tcW w:w="7355" w:type="dxa"/>
            <w:tcBorders>
              <w:top w:val="single" w:sz="4" w:space="0" w:color="auto"/>
              <w:left w:val="single" w:sz="4" w:space="0" w:color="auto"/>
              <w:right w:val="single" w:sz="4" w:space="0" w:color="auto"/>
            </w:tcBorders>
          </w:tcPr>
          <w:p w14:paraId="2BBE233A" w14:textId="43157227"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Wholesale - Other nondurable goods merchant wholesalers</w:t>
            </w:r>
          </w:p>
        </w:tc>
        <w:tc>
          <w:tcPr>
            <w:tcW w:w="2106" w:type="dxa"/>
            <w:tcBorders>
              <w:top w:val="single" w:sz="4" w:space="0" w:color="auto"/>
              <w:left w:val="single" w:sz="4" w:space="0" w:color="auto"/>
              <w:bottom w:val="nil"/>
              <w:right w:val="single" w:sz="4" w:space="0" w:color="auto"/>
            </w:tcBorders>
          </w:tcPr>
          <w:p w14:paraId="385A42E2" w14:textId="4791BB65"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$106.7</w:t>
            </w:r>
          </w:p>
        </w:tc>
      </w:tr>
      <w:tr w:rsidR="00594F3E" w:rsidRPr="00753D14" w14:paraId="52598C75" w14:textId="77777777" w:rsidTr="005665ED">
        <w:trPr>
          <w:trHeight w:val="287"/>
        </w:trPr>
        <w:tc>
          <w:tcPr>
            <w:tcW w:w="7355" w:type="dxa"/>
            <w:tcBorders>
              <w:left w:val="single" w:sz="4" w:space="0" w:color="auto"/>
              <w:right w:val="single" w:sz="4" w:space="0" w:color="auto"/>
            </w:tcBorders>
          </w:tcPr>
          <w:p w14:paraId="0AC5B266" w14:textId="6C36AF28"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Wholesale - Machinery, equipment, and supplies</w:t>
            </w:r>
          </w:p>
        </w:tc>
        <w:tc>
          <w:tcPr>
            <w:tcW w:w="2106" w:type="dxa"/>
            <w:tcBorders>
              <w:top w:val="nil"/>
              <w:left w:val="single" w:sz="4" w:space="0" w:color="auto"/>
              <w:bottom w:val="nil"/>
              <w:right w:val="single" w:sz="4" w:space="0" w:color="auto"/>
            </w:tcBorders>
          </w:tcPr>
          <w:p w14:paraId="5D599FEF" w14:textId="29CEAC14"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$44.0</w:t>
            </w:r>
          </w:p>
        </w:tc>
      </w:tr>
      <w:tr w:rsidR="00594F3E" w:rsidRPr="00753D14" w14:paraId="763BF341" w14:textId="77777777" w:rsidTr="005665ED">
        <w:trPr>
          <w:trHeight w:val="287"/>
        </w:trPr>
        <w:tc>
          <w:tcPr>
            <w:tcW w:w="7355" w:type="dxa"/>
            <w:tcBorders>
              <w:left w:val="single" w:sz="4" w:space="0" w:color="auto"/>
              <w:right w:val="single" w:sz="4" w:space="0" w:color="auto"/>
            </w:tcBorders>
          </w:tcPr>
          <w:p w14:paraId="506E4F47" w14:textId="0674DC8B"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Glass container manufacturing</w:t>
            </w:r>
          </w:p>
        </w:tc>
        <w:tc>
          <w:tcPr>
            <w:tcW w:w="2106" w:type="dxa"/>
            <w:tcBorders>
              <w:top w:val="nil"/>
              <w:left w:val="single" w:sz="4" w:space="0" w:color="auto"/>
              <w:bottom w:val="nil"/>
              <w:right w:val="single" w:sz="4" w:space="0" w:color="auto"/>
            </w:tcBorders>
          </w:tcPr>
          <w:p w14:paraId="32E42A6A" w14:textId="6EC4900A"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$28.3</w:t>
            </w:r>
          </w:p>
        </w:tc>
      </w:tr>
      <w:tr w:rsidR="00594F3E" w:rsidRPr="00753D14" w14:paraId="6B511D25" w14:textId="77777777" w:rsidTr="005665ED">
        <w:trPr>
          <w:trHeight w:val="287"/>
        </w:trPr>
        <w:tc>
          <w:tcPr>
            <w:tcW w:w="7355" w:type="dxa"/>
            <w:tcBorders>
              <w:left w:val="single" w:sz="4" w:space="0" w:color="auto"/>
              <w:right w:val="single" w:sz="4" w:space="0" w:color="auto"/>
            </w:tcBorders>
          </w:tcPr>
          <w:p w14:paraId="74F00124" w14:textId="180ACEE1"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Truck transportation</w:t>
            </w:r>
          </w:p>
        </w:tc>
        <w:tc>
          <w:tcPr>
            <w:tcW w:w="2106" w:type="dxa"/>
            <w:tcBorders>
              <w:top w:val="nil"/>
              <w:left w:val="single" w:sz="4" w:space="0" w:color="auto"/>
              <w:bottom w:val="nil"/>
              <w:right w:val="single" w:sz="4" w:space="0" w:color="auto"/>
            </w:tcBorders>
          </w:tcPr>
          <w:p w14:paraId="3668BE16" w14:textId="6B6E4C43"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$26.0</w:t>
            </w:r>
          </w:p>
        </w:tc>
      </w:tr>
      <w:tr w:rsidR="00594F3E" w:rsidRPr="00753D14" w14:paraId="6F28D6C2" w14:textId="77777777" w:rsidTr="005665ED">
        <w:trPr>
          <w:trHeight w:val="287"/>
        </w:trPr>
        <w:tc>
          <w:tcPr>
            <w:tcW w:w="7355" w:type="dxa"/>
            <w:tcBorders>
              <w:left w:val="single" w:sz="4" w:space="0" w:color="auto"/>
              <w:right w:val="single" w:sz="4" w:space="0" w:color="auto"/>
            </w:tcBorders>
          </w:tcPr>
          <w:p w14:paraId="21D7F567" w14:textId="57C94A3A"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Other real estate</w:t>
            </w:r>
          </w:p>
        </w:tc>
        <w:tc>
          <w:tcPr>
            <w:tcW w:w="2106" w:type="dxa"/>
            <w:tcBorders>
              <w:top w:val="nil"/>
              <w:left w:val="single" w:sz="4" w:space="0" w:color="auto"/>
              <w:bottom w:val="nil"/>
              <w:right w:val="single" w:sz="4" w:space="0" w:color="auto"/>
            </w:tcBorders>
          </w:tcPr>
          <w:p w14:paraId="74EE25B0" w14:textId="65A74733"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$20.4</w:t>
            </w:r>
          </w:p>
        </w:tc>
      </w:tr>
      <w:tr w:rsidR="00594F3E" w:rsidRPr="00753D14" w14:paraId="49F4A42A" w14:textId="77777777" w:rsidTr="005665ED">
        <w:trPr>
          <w:trHeight w:val="287"/>
        </w:trPr>
        <w:tc>
          <w:tcPr>
            <w:tcW w:w="7355" w:type="dxa"/>
            <w:tcBorders>
              <w:left w:val="single" w:sz="4" w:space="0" w:color="auto"/>
              <w:right w:val="single" w:sz="4" w:space="0" w:color="auto"/>
            </w:tcBorders>
          </w:tcPr>
          <w:p w14:paraId="0CC3BA34" w14:textId="453BEA3C"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Management of companies and enterprises</w:t>
            </w:r>
          </w:p>
        </w:tc>
        <w:tc>
          <w:tcPr>
            <w:tcW w:w="2106" w:type="dxa"/>
            <w:tcBorders>
              <w:top w:val="nil"/>
              <w:left w:val="single" w:sz="4" w:space="0" w:color="auto"/>
              <w:bottom w:val="nil"/>
              <w:right w:val="single" w:sz="4" w:space="0" w:color="auto"/>
            </w:tcBorders>
          </w:tcPr>
          <w:p w14:paraId="4BCB1BC1" w14:textId="5CDF5E7D"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$17.6</w:t>
            </w:r>
          </w:p>
        </w:tc>
      </w:tr>
      <w:tr w:rsidR="00594F3E" w:rsidRPr="00753D14" w14:paraId="2EF25D87" w14:textId="77777777" w:rsidTr="005665ED">
        <w:trPr>
          <w:trHeight w:val="287"/>
        </w:trPr>
        <w:tc>
          <w:tcPr>
            <w:tcW w:w="7355" w:type="dxa"/>
            <w:tcBorders>
              <w:left w:val="single" w:sz="4" w:space="0" w:color="auto"/>
              <w:right w:val="single" w:sz="4" w:space="0" w:color="auto"/>
            </w:tcBorders>
          </w:tcPr>
          <w:p w14:paraId="494AAC0F" w14:textId="20092329"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Marketing related industries</w:t>
            </w:r>
          </w:p>
        </w:tc>
        <w:tc>
          <w:tcPr>
            <w:tcW w:w="2106" w:type="dxa"/>
            <w:tcBorders>
              <w:top w:val="nil"/>
              <w:left w:val="single" w:sz="4" w:space="0" w:color="auto"/>
              <w:bottom w:val="nil"/>
              <w:right w:val="single" w:sz="4" w:space="0" w:color="auto"/>
            </w:tcBorders>
          </w:tcPr>
          <w:p w14:paraId="50B79C42" w14:textId="40F2C4F7"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$16.5</w:t>
            </w:r>
          </w:p>
        </w:tc>
      </w:tr>
      <w:tr w:rsidR="00594F3E" w:rsidRPr="00753D14" w14:paraId="09F4336F" w14:textId="77777777" w:rsidTr="005665ED">
        <w:trPr>
          <w:trHeight w:val="287"/>
        </w:trPr>
        <w:tc>
          <w:tcPr>
            <w:tcW w:w="7355" w:type="dxa"/>
            <w:tcBorders>
              <w:left w:val="single" w:sz="4" w:space="0" w:color="auto"/>
              <w:right w:val="single" w:sz="4" w:space="0" w:color="auto"/>
            </w:tcBorders>
          </w:tcPr>
          <w:p w14:paraId="22FADDCF" w14:textId="58AE5C17"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Insurance agencies, brokerages, and related activities</w:t>
            </w:r>
          </w:p>
        </w:tc>
        <w:tc>
          <w:tcPr>
            <w:tcW w:w="2106" w:type="dxa"/>
            <w:tcBorders>
              <w:top w:val="nil"/>
              <w:left w:val="single" w:sz="4" w:space="0" w:color="auto"/>
              <w:bottom w:val="nil"/>
              <w:right w:val="single" w:sz="4" w:space="0" w:color="auto"/>
            </w:tcBorders>
          </w:tcPr>
          <w:p w14:paraId="0D1C18E8" w14:textId="59FD6921"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$14.6</w:t>
            </w:r>
          </w:p>
        </w:tc>
      </w:tr>
      <w:tr w:rsidR="00594F3E" w:rsidRPr="00753D14" w14:paraId="63C31479" w14:textId="77777777" w:rsidTr="005665ED">
        <w:trPr>
          <w:trHeight w:val="287"/>
        </w:trPr>
        <w:tc>
          <w:tcPr>
            <w:tcW w:w="7355" w:type="dxa"/>
            <w:tcBorders>
              <w:left w:val="single" w:sz="4" w:space="0" w:color="auto"/>
              <w:right w:val="single" w:sz="4" w:space="0" w:color="auto"/>
            </w:tcBorders>
          </w:tcPr>
          <w:p w14:paraId="7865D0CF" w14:textId="2A9DC28D"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Wineries</w:t>
            </w:r>
          </w:p>
        </w:tc>
        <w:tc>
          <w:tcPr>
            <w:tcW w:w="2106" w:type="dxa"/>
            <w:tcBorders>
              <w:top w:val="nil"/>
              <w:left w:val="single" w:sz="4" w:space="0" w:color="auto"/>
              <w:bottom w:val="nil"/>
              <w:right w:val="single" w:sz="4" w:space="0" w:color="auto"/>
            </w:tcBorders>
          </w:tcPr>
          <w:p w14:paraId="75088AD5" w14:textId="2B2B963B"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$13.0</w:t>
            </w:r>
          </w:p>
        </w:tc>
      </w:tr>
      <w:tr w:rsidR="00594F3E" w:rsidRPr="00753D14" w14:paraId="771B240D" w14:textId="77777777" w:rsidTr="005665ED">
        <w:trPr>
          <w:trHeight w:val="287"/>
        </w:trPr>
        <w:tc>
          <w:tcPr>
            <w:tcW w:w="7355" w:type="dxa"/>
            <w:tcBorders>
              <w:left w:val="single" w:sz="4" w:space="0" w:color="auto"/>
              <w:right w:val="single" w:sz="4" w:space="0" w:color="auto"/>
            </w:tcBorders>
          </w:tcPr>
          <w:p w14:paraId="4DF552FA" w14:textId="257501C8"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Electric power transmission and distribution</w:t>
            </w:r>
          </w:p>
        </w:tc>
        <w:tc>
          <w:tcPr>
            <w:tcW w:w="2106" w:type="dxa"/>
            <w:tcBorders>
              <w:top w:val="nil"/>
              <w:left w:val="single" w:sz="4" w:space="0" w:color="auto"/>
              <w:bottom w:val="nil"/>
              <w:right w:val="single" w:sz="4" w:space="0" w:color="auto"/>
            </w:tcBorders>
          </w:tcPr>
          <w:p w14:paraId="577D25AC" w14:textId="5970069E"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$7.8</w:t>
            </w:r>
          </w:p>
        </w:tc>
      </w:tr>
      <w:tr w:rsidR="00594F3E" w:rsidRPr="00753D14" w14:paraId="332CBCEA" w14:textId="77777777" w:rsidTr="005665ED">
        <w:trPr>
          <w:trHeight w:val="287"/>
        </w:trPr>
        <w:tc>
          <w:tcPr>
            <w:tcW w:w="7355" w:type="dxa"/>
            <w:tcBorders>
              <w:left w:val="single" w:sz="4" w:space="0" w:color="auto"/>
              <w:right w:val="single" w:sz="4" w:space="0" w:color="auto"/>
            </w:tcBorders>
          </w:tcPr>
          <w:p w14:paraId="67430E7E" w14:textId="4AD05672"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Monetary authorities and depository credit intermediation</w:t>
            </w:r>
          </w:p>
        </w:tc>
        <w:tc>
          <w:tcPr>
            <w:tcW w:w="2106" w:type="dxa"/>
            <w:tcBorders>
              <w:top w:val="nil"/>
              <w:left w:val="single" w:sz="4" w:space="0" w:color="auto"/>
              <w:bottom w:val="nil"/>
              <w:right w:val="single" w:sz="4" w:space="0" w:color="auto"/>
            </w:tcBorders>
          </w:tcPr>
          <w:p w14:paraId="128FD6B6" w14:textId="1B965E67"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$7.5</w:t>
            </w:r>
          </w:p>
        </w:tc>
      </w:tr>
      <w:tr w:rsidR="00594F3E" w:rsidRPr="00753D14" w14:paraId="21EDCFF8" w14:textId="77777777" w:rsidTr="005665ED">
        <w:trPr>
          <w:trHeight w:val="287"/>
        </w:trPr>
        <w:tc>
          <w:tcPr>
            <w:tcW w:w="7355" w:type="dxa"/>
            <w:tcBorders>
              <w:left w:val="single" w:sz="4" w:space="0" w:color="auto"/>
              <w:right w:val="single" w:sz="4" w:space="0" w:color="auto"/>
            </w:tcBorders>
          </w:tcPr>
          <w:p w14:paraId="56582AB5" w14:textId="71F75332"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Rail transportation</w:t>
            </w:r>
          </w:p>
        </w:tc>
        <w:tc>
          <w:tcPr>
            <w:tcW w:w="2106" w:type="dxa"/>
            <w:tcBorders>
              <w:top w:val="nil"/>
              <w:left w:val="single" w:sz="4" w:space="0" w:color="auto"/>
              <w:bottom w:val="nil"/>
              <w:right w:val="single" w:sz="4" w:space="0" w:color="auto"/>
            </w:tcBorders>
          </w:tcPr>
          <w:p w14:paraId="0F6B4975" w14:textId="78E0C51F"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$7.2</w:t>
            </w:r>
          </w:p>
        </w:tc>
      </w:tr>
      <w:tr w:rsidR="00594F3E" w:rsidRPr="00753D14" w14:paraId="2515C10F" w14:textId="77777777" w:rsidTr="005665ED">
        <w:trPr>
          <w:trHeight w:val="287"/>
        </w:trPr>
        <w:tc>
          <w:tcPr>
            <w:tcW w:w="7355" w:type="dxa"/>
            <w:tcBorders>
              <w:left w:val="single" w:sz="4" w:space="0" w:color="auto"/>
              <w:right w:val="single" w:sz="4" w:space="0" w:color="auto"/>
            </w:tcBorders>
          </w:tcPr>
          <w:p w14:paraId="3B5014FE" w14:textId="636A2AFB"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Plastics bottle manufacturing</w:t>
            </w:r>
          </w:p>
        </w:tc>
        <w:tc>
          <w:tcPr>
            <w:tcW w:w="2106" w:type="dxa"/>
            <w:tcBorders>
              <w:top w:val="nil"/>
              <w:left w:val="single" w:sz="4" w:space="0" w:color="auto"/>
              <w:bottom w:val="nil"/>
              <w:right w:val="single" w:sz="4" w:space="0" w:color="auto"/>
            </w:tcBorders>
          </w:tcPr>
          <w:p w14:paraId="0A421B16" w14:textId="3FA08A65"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$7.0</w:t>
            </w:r>
          </w:p>
        </w:tc>
      </w:tr>
      <w:tr w:rsidR="00594F3E" w:rsidRPr="00753D14" w14:paraId="1773EFA7" w14:textId="77777777" w:rsidTr="005665ED">
        <w:trPr>
          <w:trHeight w:val="287"/>
        </w:trPr>
        <w:tc>
          <w:tcPr>
            <w:tcW w:w="7355" w:type="dxa"/>
            <w:tcBorders>
              <w:left w:val="single" w:sz="4" w:space="0" w:color="auto"/>
              <w:right w:val="single" w:sz="4" w:space="0" w:color="auto"/>
            </w:tcBorders>
          </w:tcPr>
          <w:p w14:paraId="4E9C1A6A" w14:textId="0C575C72"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Insurance carriers, except direct life</w:t>
            </w:r>
          </w:p>
        </w:tc>
        <w:tc>
          <w:tcPr>
            <w:tcW w:w="2106" w:type="dxa"/>
            <w:tcBorders>
              <w:top w:val="nil"/>
              <w:left w:val="single" w:sz="4" w:space="0" w:color="auto"/>
              <w:bottom w:val="nil"/>
              <w:right w:val="single" w:sz="4" w:space="0" w:color="auto"/>
            </w:tcBorders>
          </w:tcPr>
          <w:p w14:paraId="55AE36AA" w14:textId="32F1EEFC"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$6.8</w:t>
            </w:r>
          </w:p>
        </w:tc>
      </w:tr>
      <w:tr w:rsidR="00594F3E" w:rsidRPr="00753D14" w14:paraId="578B5651" w14:textId="77777777" w:rsidTr="005665ED">
        <w:trPr>
          <w:trHeight w:val="287"/>
        </w:trPr>
        <w:tc>
          <w:tcPr>
            <w:tcW w:w="7355" w:type="dxa"/>
            <w:tcBorders>
              <w:left w:val="single" w:sz="4" w:space="0" w:color="auto"/>
              <w:right w:val="single" w:sz="4" w:space="0" w:color="auto"/>
            </w:tcBorders>
          </w:tcPr>
          <w:p w14:paraId="55BD8F9E" w14:textId="2E934D58"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Paperboard container manufacturing</w:t>
            </w:r>
          </w:p>
        </w:tc>
        <w:tc>
          <w:tcPr>
            <w:tcW w:w="2106" w:type="dxa"/>
            <w:tcBorders>
              <w:top w:val="nil"/>
              <w:left w:val="single" w:sz="4" w:space="0" w:color="auto"/>
              <w:bottom w:val="nil"/>
              <w:right w:val="single" w:sz="4" w:space="0" w:color="auto"/>
            </w:tcBorders>
          </w:tcPr>
          <w:p w14:paraId="643B71D8" w14:textId="14F91690"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$6.3</w:t>
            </w:r>
          </w:p>
        </w:tc>
      </w:tr>
      <w:tr w:rsidR="00594F3E" w:rsidRPr="00753D14" w14:paraId="1AD36C2C" w14:textId="77777777" w:rsidTr="005665ED">
        <w:trPr>
          <w:trHeight w:val="287"/>
        </w:trPr>
        <w:tc>
          <w:tcPr>
            <w:tcW w:w="7355" w:type="dxa"/>
            <w:tcBorders>
              <w:left w:val="single" w:sz="4" w:space="0" w:color="auto"/>
              <w:right w:val="single" w:sz="4" w:space="0" w:color="auto"/>
            </w:tcBorders>
          </w:tcPr>
          <w:p w14:paraId="177B3C04" w14:textId="581538B8"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Machine shops</w:t>
            </w:r>
          </w:p>
        </w:tc>
        <w:tc>
          <w:tcPr>
            <w:tcW w:w="2106" w:type="dxa"/>
            <w:tcBorders>
              <w:top w:val="nil"/>
              <w:left w:val="single" w:sz="4" w:space="0" w:color="auto"/>
              <w:bottom w:val="nil"/>
              <w:right w:val="single" w:sz="4" w:space="0" w:color="auto"/>
            </w:tcBorders>
          </w:tcPr>
          <w:p w14:paraId="6DBA3014" w14:textId="17BC12C3"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$5.9</w:t>
            </w:r>
          </w:p>
        </w:tc>
      </w:tr>
      <w:tr w:rsidR="00594F3E" w:rsidRPr="00753D14" w14:paraId="6874C9E9" w14:textId="77777777" w:rsidTr="005665ED">
        <w:trPr>
          <w:trHeight w:val="287"/>
        </w:trPr>
        <w:tc>
          <w:tcPr>
            <w:tcW w:w="7355" w:type="dxa"/>
            <w:tcBorders>
              <w:left w:val="single" w:sz="4" w:space="0" w:color="auto"/>
              <w:right w:val="single" w:sz="4" w:space="0" w:color="auto"/>
            </w:tcBorders>
          </w:tcPr>
          <w:p w14:paraId="3BE9A608" w14:textId="1C8390C6"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Metal mining services</w:t>
            </w:r>
          </w:p>
        </w:tc>
        <w:tc>
          <w:tcPr>
            <w:tcW w:w="2106" w:type="dxa"/>
            <w:tcBorders>
              <w:top w:val="nil"/>
              <w:left w:val="single" w:sz="4" w:space="0" w:color="auto"/>
              <w:bottom w:val="nil"/>
              <w:right w:val="single" w:sz="4" w:space="0" w:color="auto"/>
            </w:tcBorders>
          </w:tcPr>
          <w:p w14:paraId="0D9356C7" w14:textId="388776D5"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$5.9</w:t>
            </w:r>
          </w:p>
        </w:tc>
      </w:tr>
      <w:tr w:rsidR="00594F3E" w:rsidRPr="00753D14" w14:paraId="3F37A713" w14:textId="77777777" w:rsidTr="005665ED">
        <w:trPr>
          <w:trHeight w:val="287"/>
        </w:trPr>
        <w:tc>
          <w:tcPr>
            <w:tcW w:w="7355" w:type="dxa"/>
            <w:tcBorders>
              <w:left w:val="single" w:sz="4" w:space="0" w:color="auto"/>
              <w:right w:val="single" w:sz="4" w:space="0" w:color="auto"/>
            </w:tcBorders>
          </w:tcPr>
          <w:p w14:paraId="6372E3A2" w14:textId="0DF96E0E"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Employment services</w:t>
            </w:r>
          </w:p>
        </w:tc>
        <w:tc>
          <w:tcPr>
            <w:tcW w:w="2106" w:type="dxa"/>
            <w:tcBorders>
              <w:top w:val="nil"/>
              <w:left w:val="single" w:sz="4" w:space="0" w:color="auto"/>
              <w:bottom w:val="nil"/>
              <w:right w:val="single" w:sz="4" w:space="0" w:color="auto"/>
            </w:tcBorders>
          </w:tcPr>
          <w:p w14:paraId="49939E95" w14:textId="51F7AA12"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$5.6</w:t>
            </w:r>
          </w:p>
        </w:tc>
      </w:tr>
      <w:tr w:rsidR="00594F3E" w:rsidRPr="00753D14" w14:paraId="5C48C326" w14:textId="77777777" w:rsidTr="005665ED">
        <w:trPr>
          <w:trHeight w:val="287"/>
        </w:trPr>
        <w:tc>
          <w:tcPr>
            <w:tcW w:w="7355" w:type="dxa"/>
            <w:tcBorders>
              <w:left w:val="single" w:sz="4" w:space="0" w:color="auto"/>
              <w:right w:val="single" w:sz="4" w:space="0" w:color="auto"/>
            </w:tcBorders>
          </w:tcPr>
          <w:p w14:paraId="551161C9" w14:textId="4A9C1899"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Grain farming</w:t>
            </w:r>
          </w:p>
        </w:tc>
        <w:tc>
          <w:tcPr>
            <w:tcW w:w="2106" w:type="dxa"/>
            <w:tcBorders>
              <w:top w:val="nil"/>
              <w:left w:val="single" w:sz="4" w:space="0" w:color="auto"/>
              <w:bottom w:val="nil"/>
              <w:right w:val="single" w:sz="4" w:space="0" w:color="auto"/>
            </w:tcBorders>
          </w:tcPr>
          <w:p w14:paraId="16E14CB7" w14:textId="7FBC719C"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$5.5</w:t>
            </w:r>
          </w:p>
        </w:tc>
      </w:tr>
      <w:tr w:rsidR="00594F3E" w:rsidRPr="00753D14" w14:paraId="19FD62EE" w14:textId="77777777" w:rsidTr="005665ED">
        <w:trPr>
          <w:trHeight w:val="301"/>
        </w:trPr>
        <w:tc>
          <w:tcPr>
            <w:tcW w:w="7355" w:type="dxa"/>
            <w:tcBorders>
              <w:left w:val="single" w:sz="4" w:space="0" w:color="auto"/>
              <w:bottom w:val="single" w:sz="4" w:space="0" w:color="auto"/>
              <w:right w:val="single" w:sz="4" w:space="0" w:color="auto"/>
            </w:tcBorders>
          </w:tcPr>
          <w:p w14:paraId="6E736B42" w14:textId="192EE34B" w:rsidR="00594F3E" w:rsidRPr="00594F3E" w:rsidRDefault="00594F3E" w:rsidP="00594F3E">
            <w:pPr>
              <w:autoSpaceDE w:val="0"/>
              <w:autoSpaceDN w:val="0"/>
              <w:adjustRightInd w:val="0"/>
              <w:spacing w:after="0" w:line="240" w:lineRule="auto"/>
              <w:rPr>
                <w:rFonts w:ascii="Calibri" w:hAnsi="Calibri" w:cs="Calibri"/>
                <w:color w:val="000000"/>
                <w:sz w:val="20"/>
                <w:szCs w:val="20"/>
              </w:rPr>
            </w:pPr>
            <w:r w:rsidRPr="00594F3E">
              <w:rPr>
                <w:rFonts w:ascii="Calibri" w:hAnsi="Calibri" w:cs="Calibri"/>
                <w:color w:val="000000"/>
                <w:sz w:val="20"/>
                <w:szCs w:val="20"/>
              </w:rPr>
              <w:t xml:space="preserve"> Petroleum refineries</w:t>
            </w:r>
          </w:p>
        </w:tc>
        <w:tc>
          <w:tcPr>
            <w:tcW w:w="2106" w:type="dxa"/>
            <w:tcBorders>
              <w:top w:val="nil"/>
              <w:left w:val="single" w:sz="4" w:space="0" w:color="auto"/>
              <w:bottom w:val="single" w:sz="4" w:space="0" w:color="auto"/>
              <w:right w:val="single" w:sz="4" w:space="0" w:color="auto"/>
            </w:tcBorders>
          </w:tcPr>
          <w:p w14:paraId="5CE6B6BD" w14:textId="4406D1AB" w:rsidR="00594F3E" w:rsidRPr="00594F3E" w:rsidRDefault="00594F3E" w:rsidP="005665ED">
            <w:pPr>
              <w:autoSpaceDE w:val="0"/>
              <w:autoSpaceDN w:val="0"/>
              <w:adjustRightInd w:val="0"/>
              <w:spacing w:after="0" w:line="240" w:lineRule="auto"/>
              <w:jc w:val="center"/>
              <w:rPr>
                <w:rFonts w:ascii="Calibri" w:hAnsi="Calibri" w:cs="Calibri"/>
                <w:color w:val="000000"/>
                <w:sz w:val="20"/>
                <w:szCs w:val="20"/>
              </w:rPr>
            </w:pPr>
            <w:r w:rsidRPr="00594F3E">
              <w:rPr>
                <w:rFonts w:ascii="Calibri" w:hAnsi="Calibri" w:cs="Calibri"/>
                <w:color w:val="000000"/>
                <w:sz w:val="20"/>
                <w:szCs w:val="20"/>
              </w:rPr>
              <w:t>$4.8</w:t>
            </w:r>
          </w:p>
        </w:tc>
      </w:tr>
    </w:tbl>
    <w:p w14:paraId="28C8F803" w14:textId="77777777" w:rsidR="00916F19" w:rsidRPr="00F011A5" w:rsidRDefault="00916F19" w:rsidP="00916F19">
      <w:pPr>
        <w:spacing w:after="0"/>
        <w:jc w:val="both"/>
        <w:rPr>
          <w:sz w:val="18"/>
          <w:szCs w:val="18"/>
        </w:rPr>
      </w:pPr>
      <w:r w:rsidRPr="00753D14">
        <w:rPr>
          <w:sz w:val="18"/>
          <w:szCs w:val="18"/>
        </w:rPr>
        <w:t xml:space="preserve">   </w:t>
      </w:r>
      <w:r w:rsidR="0086740D" w:rsidRPr="00753D14">
        <w:rPr>
          <w:sz w:val="18"/>
          <w:szCs w:val="18"/>
        </w:rPr>
        <w:t>Source: IMPLAN online platform</w:t>
      </w:r>
      <w:r w:rsidRPr="00753D14">
        <w:rPr>
          <w:sz w:val="18"/>
          <w:szCs w:val="18"/>
        </w:rPr>
        <w:t>. Elaboration: J. Oyakawa.</w:t>
      </w:r>
    </w:p>
    <w:p w14:paraId="40DF63BB" w14:textId="77777777" w:rsidR="0086740D" w:rsidRDefault="0086740D" w:rsidP="00916F19">
      <w:pPr>
        <w:spacing w:after="0"/>
        <w:jc w:val="both"/>
        <w:rPr>
          <w:highlight w:val="green"/>
        </w:rPr>
      </w:pPr>
    </w:p>
    <w:p w14:paraId="5501D233" w14:textId="35F8A146" w:rsidR="00916F19" w:rsidRPr="00753D14" w:rsidRDefault="00916F19" w:rsidP="00916F19">
      <w:pPr>
        <w:spacing w:after="0"/>
        <w:jc w:val="both"/>
      </w:pPr>
      <w:r w:rsidRPr="00753D14">
        <w:lastRenderedPageBreak/>
        <w:t xml:space="preserve">As shown in </w:t>
      </w:r>
      <w:r w:rsidR="002B33E2" w:rsidRPr="00753D14">
        <w:t xml:space="preserve">the </w:t>
      </w:r>
      <w:r w:rsidRPr="00753D14">
        <w:t xml:space="preserve">Appendix, local suppliers satisfy a significant portion of the distillers’ intermediate demands. </w:t>
      </w:r>
      <w:r w:rsidR="00764CE6">
        <w:t>As for</w:t>
      </w:r>
      <w:r w:rsidRPr="00753D14">
        <w:t xml:space="preserve"> wholesale traders</w:t>
      </w:r>
      <w:r w:rsidR="00C157ED" w:rsidRPr="00753D14">
        <w:t xml:space="preserve"> for other nondurable goods</w:t>
      </w:r>
      <w:r w:rsidRPr="00753D14">
        <w:t xml:space="preserve">, </w:t>
      </w:r>
      <w:r w:rsidR="00BD795E">
        <w:t>86</w:t>
      </w:r>
      <w:r w:rsidRPr="00753D14">
        <w:t>.</w:t>
      </w:r>
      <w:r w:rsidR="002B33E2" w:rsidRPr="00753D14">
        <w:t>9</w:t>
      </w:r>
      <w:r w:rsidRPr="00753D14">
        <w:t xml:space="preserve"> percent of the $</w:t>
      </w:r>
      <w:r w:rsidR="002D1F98">
        <w:t>106.7</w:t>
      </w:r>
      <w:r w:rsidR="00C157ED" w:rsidRPr="00753D14">
        <w:t xml:space="preserve"> </w:t>
      </w:r>
      <w:r w:rsidRPr="00753D14">
        <w:t xml:space="preserve">million demanded by distillers comes from local suppliers. </w:t>
      </w:r>
      <w:r w:rsidRPr="00753D14">
        <w:rPr>
          <w:rStyle w:val="FootnoteReference"/>
        </w:rPr>
        <w:footnoteReference w:id="7"/>
      </w:r>
      <w:r w:rsidRPr="00753D14">
        <w:t xml:space="preserve"> </w:t>
      </w:r>
      <w:r w:rsidR="00400FA9">
        <w:t>With</w:t>
      </w:r>
      <w:r w:rsidRPr="00753D14">
        <w:t xml:space="preserve"> truck transportation, </w:t>
      </w:r>
      <w:r w:rsidR="002B33E2" w:rsidRPr="00753D14">
        <w:t>9</w:t>
      </w:r>
      <w:r w:rsidR="005665ED">
        <w:t>8.9</w:t>
      </w:r>
      <w:r w:rsidRPr="00753D14">
        <w:t xml:space="preserve"> percent of the $</w:t>
      </w:r>
      <w:r w:rsidR="00C157ED" w:rsidRPr="00753D14">
        <w:t>2</w:t>
      </w:r>
      <w:r w:rsidR="002D1F98">
        <w:t>6.0</w:t>
      </w:r>
      <w:r w:rsidRPr="00753D14">
        <w:t xml:space="preserve"> million required stems from local suppliers. In </w:t>
      </w:r>
      <w:r w:rsidR="00C9171D">
        <w:t>reference to</w:t>
      </w:r>
      <w:r w:rsidRPr="00753D14">
        <w:t xml:space="preserve"> grain farming, </w:t>
      </w:r>
      <w:r w:rsidR="002B33E2" w:rsidRPr="00753D14">
        <w:t>3</w:t>
      </w:r>
      <w:r w:rsidR="00BD795E">
        <w:t>0.6</w:t>
      </w:r>
      <w:r w:rsidRPr="00753D14">
        <w:t xml:space="preserve"> percent of the $</w:t>
      </w:r>
      <w:r w:rsidR="002D1F98">
        <w:t>5.5</w:t>
      </w:r>
      <w:r w:rsidRPr="00753D14">
        <w:t xml:space="preserve"> million demanded originates from local suppliers. </w:t>
      </w:r>
    </w:p>
    <w:p w14:paraId="41E9E37E" w14:textId="77777777" w:rsidR="00916F19" w:rsidRPr="00753D14" w:rsidRDefault="00916F19" w:rsidP="00916F19">
      <w:pPr>
        <w:spacing w:after="0"/>
        <w:jc w:val="both"/>
      </w:pPr>
    </w:p>
    <w:p w14:paraId="44C92101" w14:textId="2E15084D" w:rsidR="00916F19" w:rsidRPr="00753D14" w:rsidRDefault="00916F19" w:rsidP="00916F19">
      <w:pPr>
        <w:spacing w:after="0"/>
        <w:jc w:val="both"/>
      </w:pPr>
      <w:r w:rsidRPr="00753D14">
        <w:t xml:space="preserve">From the indirect employment effects, similar to the output contributions, the most important supplier is wholesale trade </w:t>
      </w:r>
      <w:r w:rsidR="00ED1010" w:rsidRPr="00753D14">
        <w:t xml:space="preserve">for nondurables </w:t>
      </w:r>
      <w:r w:rsidRPr="00753D14">
        <w:t>(</w:t>
      </w:r>
      <w:r w:rsidR="00ED1010" w:rsidRPr="00753D14">
        <w:t>3</w:t>
      </w:r>
      <w:r w:rsidR="005665ED">
        <w:t>53</w:t>
      </w:r>
      <w:r w:rsidRPr="00753D14">
        <w:t xml:space="preserve"> indirect jobs), followed by truck transportation (</w:t>
      </w:r>
      <w:r w:rsidR="00ED1010" w:rsidRPr="00753D14">
        <w:t>1</w:t>
      </w:r>
      <w:r w:rsidR="005665ED">
        <w:t>74</w:t>
      </w:r>
      <w:r w:rsidRPr="00753D14">
        <w:t xml:space="preserve"> indirect jobs)</w:t>
      </w:r>
      <w:r w:rsidR="00ED1010" w:rsidRPr="00753D14">
        <w:t xml:space="preserve"> and the other wholesale industry for machinery (1</w:t>
      </w:r>
      <w:r w:rsidR="005665ED">
        <w:t>50</w:t>
      </w:r>
      <w:r w:rsidR="00ED1010" w:rsidRPr="00753D14">
        <w:t xml:space="preserve"> jobs)</w:t>
      </w:r>
      <w:r w:rsidRPr="00753D14">
        <w:t xml:space="preserve">. After those, </w:t>
      </w:r>
      <w:r w:rsidR="00ED1010" w:rsidRPr="00753D14">
        <w:t>other real estate</w:t>
      </w:r>
      <w:r w:rsidR="00B556EB">
        <w:t>s</w:t>
      </w:r>
      <w:r w:rsidR="00ED1010" w:rsidRPr="00753D14">
        <w:t xml:space="preserve"> (</w:t>
      </w:r>
      <w:r w:rsidR="005665ED">
        <w:t>104</w:t>
      </w:r>
      <w:r w:rsidR="00ED1010" w:rsidRPr="00753D14">
        <w:t xml:space="preserve"> jobs),</w:t>
      </w:r>
      <w:r w:rsidR="005665ED">
        <w:t xml:space="preserve"> </w:t>
      </w:r>
      <w:r w:rsidR="005665ED" w:rsidRPr="00753D14">
        <w:t>management of companies (</w:t>
      </w:r>
      <w:r w:rsidR="005665ED">
        <w:t>84</w:t>
      </w:r>
      <w:r w:rsidR="005665ED" w:rsidRPr="00753D14">
        <w:t xml:space="preserve"> jobs),</w:t>
      </w:r>
      <w:r w:rsidR="00ED1010" w:rsidRPr="00753D14">
        <w:t xml:space="preserve"> glass container manufacturing (7</w:t>
      </w:r>
      <w:r w:rsidR="005665ED">
        <w:t>6</w:t>
      </w:r>
      <w:r w:rsidR="00ED1010" w:rsidRPr="00753D14">
        <w:t xml:space="preserve"> jobs), </w:t>
      </w:r>
      <w:r w:rsidRPr="00753D14">
        <w:t>marketing and advertising (</w:t>
      </w:r>
      <w:r w:rsidR="005665ED">
        <w:t>75</w:t>
      </w:r>
      <w:r w:rsidRPr="00753D14">
        <w:t xml:space="preserve"> jobs),</w:t>
      </w:r>
      <w:r w:rsidR="00ED1010" w:rsidRPr="00753D14">
        <w:t xml:space="preserve"> employment services (5</w:t>
      </w:r>
      <w:r w:rsidR="005665ED">
        <w:t>6</w:t>
      </w:r>
      <w:r w:rsidR="00ED1010" w:rsidRPr="00753D14">
        <w:t xml:space="preserve"> jobs), </w:t>
      </w:r>
      <w:r w:rsidR="005665ED">
        <w:t xml:space="preserve">couriers and messengers (56 jobs), </w:t>
      </w:r>
      <w:r w:rsidR="00ED1010" w:rsidRPr="00753D14">
        <w:t>and</w:t>
      </w:r>
      <w:r w:rsidRPr="00753D14">
        <w:t xml:space="preserve"> insurance (5</w:t>
      </w:r>
      <w:r w:rsidR="005665ED">
        <w:t>6</w:t>
      </w:r>
      <w:r w:rsidRPr="00753D14">
        <w:t xml:space="preserve"> jobs)</w:t>
      </w:r>
      <w:r w:rsidR="005665ED">
        <w:t>,</w:t>
      </w:r>
      <w:r w:rsidR="00ED1010" w:rsidRPr="00753D14">
        <w:t xml:space="preserve"> among others</w:t>
      </w:r>
      <w:r w:rsidRPr="00753D14">
        <w:t>.</w:t>
      </w:r>
    </w:p>
    <w:p w14:paraId="73040119" w14:textId="77777777" w:rsidR="00916F19" w:rsidRPr="00753D14" w:rsidRDefault="00916F19" w:rsidP="00916F19">
      <w:pPr>
        <w:spacing w:after="0"/>
      </w:pPr>
    </w:p>
    <w:tbl>
      <w:tblPr>
        <w:tblW w:w="9461" w:type="dxa"/>
        <w:tblInd w:w="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7"/>
        <w:gridCol w:w="2434"/>
      </w:tblGrid>
      <w:tr w:rsidR="00916F19" w:rsidRPr="00753D14" w14:paraId="773164FD" w14:textId="77777777" w:rsidTr="005665ED">
        <w:trPr>
          <w:trHeight w:val="588"/>
        </w:trPr>
        <w:tc>
          <w:tcPr>
            <w:tcW w:w="7027" w:type="dxa"/>
            <w:tcBorders>
              <w:top w:val="single" w:sz="4" w:space="0" w:color="auto"/>
              <w:left w:val="single" w:sz="4" w:space="0" w:color="auto"/>
              <w:bottom w:val="single" w:sz="4" w:space="0" w:color="auto"/>
            </w:tcBorders>
            <w:shd w:val="solid" w:color="C0C0C0" w:fill="auto"/>
          </w:tcPr>
          <w:p w14:paraId="7BAAFED6" w14:textId="2694D616"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Employment: Industries Suppliers for Distillers</w:t>
            </w:r>
            <w:r w:rsidR="00717706">
              <w:rPr>
                <w:rFonts w:ascii="Calibri" w:hAnsi="Calibri" w:cs="Calibri"/>
                <w:b/>
                <w:bCs/>
                <w:color w:val="000000"/>
              </w:rPr>
              <w:t xml:space="preserve"> 2020</w:t>
            </w:r>
          </w:p>
          <w:p w14:paraId="69FF412A" w14:textId="77777777"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(Indirect Contributions Only)</w:t>
            </w:r>
          </w:p>
        </w:tc>
        <w:tc>
          <w:tcPr>
            <w:tcW w:w="2434" w:type="dxa"/>
            <w:tcBorders>
              <w:top w:val="single" w:sz="4" w:space="0" w:color="auto"/>
              <w:bottom w:val="single" w:sz="4" w:space="0" w:color="auto"/>
              <w:right w:val="single" w:sz="4" w:space="0" w:color="auto"/>
            </w:tcBorders>
            <w:shd w:val="solid" w:color="C0C0C0" w:fill="auto"/>
          </w:tcPr>
          <w:p w14:paraId="0073D7FB" w14:textId="77777777" w:rsidR="00916F19" w:rsidRPr="00753D14" w:rsidRDefault="00916F19" w:rsidP="00E01916">
            <w:pPr>
              <w:autoSpaceDE w:val="0"/>
              <w:autoSpaceDN w:val="0"/>
              <w:adjustRightInd w:val="0"/>
              <w:spacing w:after="0"/>
              <w:jc w:val="center"/>
              <w:rPr>
                <w:rFonts w:ascii="Calibri" w:hAnsi="Calibri" w:cs="Calibri"/>
                <w:b/>
                <w:bCs/>
                <w:color w:val="000000"/>
              </w:rPr>
            </w:pPr>
            <w:r w:rsidRPr="00753D14">
              <w:rPr>
                <w:rFonts w:ascii="Calibri" w:hAnsi="Calibri" w:cs="Calibri"/>
                <w:b/>
                <w:bCs/>
                <w:color w:val="000000"/>
              </w:rPr>
              <w:t>Indirect Contributions Employment</w:t>
            </w:r>
          </w:p>
        </w:tc>
      </w:tr>
      <w:tr w:rsidR="00717706" w:rsidRPr="00753D14" w14:paraId="4AC107CF" w14:textId="77777777" w:rsidTr="005665ED">
        <w:trPr>
          <w:trHeight w:val="287"/>
        </w:trPr>
        <w:tc>
          <w:tcPr>
            <w:tcW w:w="7027" w:type="dxa"/>
            <w:tcBorders>
              <w:top w:val="single" w:sz="4" w:space="0" w:color="auto"/>
              <w:left w:val="single" w:sz="4" w:space="0" w:color="auto"/>
              <w:right w:val="single" w:sz="4" w:space="0" w:color="auto"/>
            </w:tcBorders>
          </w:tcPr>
          <w:p w14:paraId="3CFC2F94" w14:textId="5922F19C"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Wholesale - Other nondurable goods merchant wholesalers</w:t>
            </w:r>
          </w:p>
        </w:tc>
        <w:tc>
          <w:tcPr>
            <w:tcW w:w="2434" w:type="dxa"/>
            <w:tcBorders>
              <w:top w:val="single" w:sz="4" w:space="0" w:color="auto"/>
              <w:left w:val="single" w:sz="4" w:space="0" w:color="auto"/>
              <w:bottom w:val="nil"/>
              <w:right w:val="single" w:sz="4" w:space="0" w:color="auto"/>
            </w:tcBorders>
          </w:tcPr>
          <w:p w14:paraId="31BA14E9" w14:textId="71B46211"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353</w:t>
            </w:r>
          </w:p>
        </w:tc>
      </w:tr>
      <w:tr w:rsidR="00717706" w:rsidRPr="00753D14" w14:paraId="4B187432" w14:textId="77777777" w:rsidTr="005665ED">
        <w:trPr>
          <w:trHeight w:val="287"/>
        </w:trPr>
        <w:tc>
          <w:tcPr>
            <w:tcW w:w="7027" w:type="dxa"/>
            <w:tcBorders>
              <w:left w:val="single" w:sz="4" w:space="0" w:color="auto"/>
              <w:right w:val="single" w:sz="4" w:space="0" w:color="auto"/>
            </w:tcBorders>
          </w:tcPr>
          <w:p w14:paraId="6A556FE1" w14:textId="4D0BC570"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Truck transportation</w:t>
            </w:r>
          </w:p>
        </w:tc>
        <w:tc>
          <w:tcPr>
            <w:tcW w:w="2434" w:type="dxa"/>
            <w:tcBorders>
              <w:top w:val="nil"/>
              <w:left w:val="single" w:sz="4" w:space="0" w:color="auto"/>
              <w:bottom w:val="nil"/>
              <w:right w:val="single" w:sz="4" w:space="0" w:color="auto"/>
            </w:tcBorders>
          </w:tcPr>
          <w:p w14:paraId="6AB20937" w14:textId="037D40C8"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174</w:t>
            </w:r>
          </w:p>
        </w:tc>
      </w:tr>
      <w:tr w:rsidR="00717706" w:rsidRPr="00753D14" w14:paraId="3442DAF7" w14:textId="77777777" w:rsidTr="005665ED">
        <w:trPr>
          <w:trHeight w:val="287"/>
        </w:trPr>
        <w:tc>
          <w:tcPr>
            <w:tcW w:w="7027" w:type="dxa"/>
            <w:tcBorders>
              <w:left w:val="single" w:sz="4" w:space="0" w:color="auto"/>
              <w:right w:val="single" w:sz="4" w:space="0" w:color="auto"/>
            </w:tcBorders>
          </w:tcPr>
          <w:p w14:paraId="042E8D9D" w14:textId="43C310C2"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Wholesale - Machinery, equipment, and supplies</w:t>
            </w:r>
          </w:p>
        </w:tc>
        <w:tc>
          <w:tcPr>
            <w:tcW w:w="2434" w:type="dxa"/>
            <w:tcBorders>
              <w:top w:val="nil"/>
              <w:left w:val="single" w:sz="4" w:space="0" w:color="auto"/>
              <w:bottom w:val="nil"/>
              <w:right w:val="single" w:sz="4" w:space="0" w:color="auto"/>
            </w:tcBorders>
          </w:tcPr>
          <w:p w14:paraId="08FB85A6" w14:textId="58C9474E"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150</w:t>
            </w:r>
          </w:p>
        </w:tc>
      </w:tr>
      <w:tr w:rsidR="00717706" w:rsidRPr="00753D14" w14:paraId="5F02E8F1" w14:textId="77777777" w:rsidTr="005665ED">
        <w:trPr>
          <w:trHeight w:val="287"/>
        </w:trPr>
        <w:tc>
          <w:tcPr>
            <w:tcW w:w="7027" w:type="dxa"/>
            <w:tcBorders>
              <w:left w:val="single" w:sz="4" w:space="0" w:color="auto"/>
              <w:right w:val="single" w:sz="4" w:space="0" w:color="auto"/>
            </w:tcBorders>
          </w:tcPr>
          <w:p w14:paraId="03D70F46" w14:textId="60C22773"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Other real estate</w:t>
            </w:r>
          </w:p>
        </w:tc>
        <w:tc>
          <w:tcPr>
            <w:tcW w:w="2434" w:type="dxa"/>
            <w:tcBorders>
              <w:top w:val="nil"/>
              <w:left w:val="single" w:sz="4" w:space="0" w:color="auto"/>
              <w:bottom w:val="nil"/>
              <w:right w:val="single" w:sz="4" w:space="0" w:color="auto"/>
            </w:tcBorders>
          </w:tcPr>
          <w:p w14:paraId="6C71A63A" w14:textId="54A53C7C"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104</w:t>
            </w:r>
          </w:p>
        </w:tc>
      </w:tr>
      <w:tr w:rsidR="00717706" w:rsidRPr="00753D14" w14:paraId="4ECDF56F" w14:textId="77777777" w:rsidTr="005665ED">
        <w:trPr>
          <w:trHeight w:val="287"/>
        </w:trPr>
        <w:tc>
          <w:tcPr>
            <w:tcW w:w="7027" w:type="dxa"/>
            <w:tcBorders>
              <w:left w:val="single" w:sz="4" w:space="0" w:color="auto"/>
              <w:right w:val="single" w:sz="4" w:space="0" w:color="auto"/>
            </w:tcBorders>
          </w:tcPr>
          <w:p w14:paraId="0DAF58B8" w14:textId="560A32BE"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Management of companies and enterprises</w:t>
            </w:r>
          </w:p>
        </w:tc>
        <w:tc>
          <w:tcPr>
            <w:tcW w:w="2434" w:type="dxa"/>
            <w:tcBorders>
              <w:top w:val="nil"/>
              <w:left w:val="single" w:sz="4" w:space="0" w:color="auto"/>
              <w:bottom w:val="nil"/>
              <w:right w:val="single" w:sz="4" w:space="0" w:color="auto"/>
            </w:tcBorders>
          </w:tcPr>
          <w:p w14:paraId="1AEB454A" w14:textId="7D1D0967"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84</w:t>
            </w:r>
          </w:p>
        </w:tc>
      </w:tr>
      <w:tr w:rsidR="00717706" w:rsidRPr="00753D14" w14:paraId="4C236AF6" w14:textId="77777777" w:rsidTr="005665ED">
        <w:trPr>
          <w:trHeight w:val="287"/>
        </w:trPr>
        <w:tc>
          <w:tcPr>
            <w:tcW w:w="7027" w:type="dxa"/>
            <w:tcBorders>
              <w:left w:val="single" w:sz="4" w:space="0" w:color="auto"/>
              <w:right w:val="single" w:sz="4" w:space="0" w:color="auto"/>
            </w:tcBorders>
          </w:tcPr>
          <w:p w14:paraId="4E4D7D16" w14:textId="104FBEE8"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Glass container manufacturing</w:t>
            </w:r>
          </w:p>
        </w:tc>
        <w:tc>
          <w:tcPr>
            <w:tcW w:w="2434" w:type="dxa"/>
            <w:tcBorders>
              <w:top w:val="nil"/>
              <w:left w:val="single" w:sz="4" w:space="0" w:color="auto"/>
              <w:bottom w:val="nil"/>
              <w:right w:val="single" w:sz="4" w:space="0" w:color="auto"/>
            </w:tcBorders>
          </w:tcPr>
          <w:p w14:paraId="0DC4A610" w14:textId="79081538"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76</w:t>
            </w:r>
          </w:p>
        </w:tc>
      </w:tr>
      <w:tr w:rsidR="00717706" w:rsidRPr="00753D14" w14:paraId="372969FB" w14:textId="77777777" w:rsidTr="005665ED">
        <w:trPr>
          <w:trHeight w:val="287"/>
        </w:trPr>
        <w:tc>
          <w:tcPr>
            <w:tcW w:w="7027" w:type="dxa"/>
            <w:tcBorders>
              <w:left w:val="single" w:sz="4" w:space="0" w:color="auto"/>
              <w:right w:val="single" w:sz="4" w:space="0" w:color="auto"/>
            </w:tcBorders>
          </w:tcPr>
          <w:p w14:paraId="05CB2D39" w14:textId="4942360D"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Marketing related industries</w:t>
            </w:r>
          </w:p>
        </w:tc>
        <w:tc>
          <w:tcPr>
            <w:tcW w:w="2434" w:type="dxa"/>
            <w:tcBorders>
              <w:top w:val="nil"/>
              <w:left w:val="single" w:sz="4" w:space="0" w:color="auto"/>
              <w:bottom w:val="nil"/>
              <w:right w:val="single" w:sz="4" w:space="0" w:color="auto"/>
            </w:tcBorders>
          </w:tcPr>
          <w:p w14:paraId="5E928C9E" w14:textId="52B90714"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75</w:t>
            </w:r>
          </w:p>
        </w:tc>
      </w:tr>
      <w:tr w:rsidR="00717706" w:rsidRPr="00753D14" w14:paraId="0F9F060B" w14:textId="77777777" w:rsidTr="005665ED">
        <w:trPr>
          <w:trHeight w:val="287"/>
        </w:trPr>
        <w:tc>
          <w:tcPr>
            <w:tcW w:w="7027" w:type="dxa"/>
            <w:tcBorders>
              <w:left w:val="single" w:sz="4" w:space="0" w:color="auto"/>
              <w:right w:val="single" w:sz="4" w:space="0" w:color="auto"/>
            </w:tcBorders>
          </w:tcPr>
          <w:p w14:paraId="4AD3A131" w14:textId="11D601D6"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Insurance agencies, brokerages, and related activities</w:t>
            </w:r>
          </w:p>
        </w:tc>
        <w:tc>
          <w:tcPr>
            <w:tcW w:w="2434" w:type="dxa"/>
            <w:tcBorders>
              <w:top w:val="nil"/>
              <w:left w:val="single" w:sz="4" w:space="0" w:color="auto"/>
              <w:bottom w:val="nil"/>
              <w:right w:val="single" w:sz="4" w:space="0" w:color="auto"/>
            </w:tcBorders>
          </w:tcPr>
          <w:p w14:paraId="33DBBAEE" w14:textId="5E4C30A9"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56</w:t>
            </w:r>
          </w:p>
        </w:tc>
      </w:tr>
      <w:tr w:rsidR="00717706" w:rsidRPr="00753D14" w14:paraId="1F7BD71B" w14:textId="77777777" w:rsidTr="005665ED">
        <w:trPr>
          <w:trHeight w:val="287"/>
        </w:trPr>
        <w:tc>
          <w:tcPr>
            <w:tcW w:w="7027" w:type="dxa"/>
            <w:tcBorders>
              <w:left w:val="single" w:sz="4" w:space="0" w:color="auto"/>
              <w:right w:val="single" w:sz="4" w:space="0" w:color="auto"/>
            </w:tcBorders>
          </w:tcPr>
          <w:p w14:paraId="62B795B5" w14:textId="3EE915AE"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Couriers and messengers</w:t>
            </w:r>
          </w:p>
        </w:tc>
        <w:tc>
          <w:tcPr>
            <w:tcW w:w="2434" w:type="dxa"/>
            <w:tcBorders>
              <w:top w:val="nil"/>
              <w:left w:val="single" w:sz="4" w:space="0" w:color="auto"/>
              <w:bottom w:val="nil"/>
              <w:right w:val="single" w:sz="4" w:space="0" w:color="auto"/>
            </w:tcBorders>
          </w:tcPr>
          <w:p w14:paraId="37F7260F" w14:textId="646A7450"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56</w:t>
            </w:r>
          </w:p>
        </w:tc>
      </w:tr>
      <w:tr w:rsidR="00717706" w:rsidRPr="00753D14" w14:paraId="11E4E453" w14:textId="77777777" w:rsidTr="005665ED">
        <w:trPr>
          <w:trHeight w:val="287"/>
        </w:trPr>
        <w:tc>
          <w:tcPr>
            <w:tcW w:w="7027" w:type="dxa"/>
            <w:tcBorders>
              <w:left w:val="single" w:sz="4" w:space="0" w:color="auto"/>
              <w:right w:val="single" w:sz="4" w:space="0" w:color="auto"/>
            </w:tcBorders>
          </w:tcPr>
          <w:p w14:paraId="6CF7EF7D" w14:textId="2398E363"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Employment services</w:t>
            </w:r>
          </w:p>
        </w:tc>
        <w:tc>
          <w:tcPr>
            <w:tcW w:w="2434" w:type="dxa"/>
            <w:tcBorders>
              <w:top w:val="nil"/>
              <w:left w:val="single" w:sz="4" w:space="0" w:color="auto"/>
              <w:bottom w:val="nil"/>
              <w:right w:val="single" w:sz="4" w:space="0" w:color="auto"/>
            </w:tcBorders>
          </w:tcPr>
          <w:p w14:paraId="7EAB6F97" w14:textId="3BEA4BA5"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56</w:t>
            </w:r>
          </w:p>
        </w:tc>
      </w:tr>
      <w:tr w:rsidR="00717706" w:rsidRPr="00753D14" w14:paraId="245B5734" w14:textId="77777777" w:rsidTr="005665ED">
        <w:trPr>
          <w:trHeight w:val="287"/>
        </w:trPr>
        <w:tc>
          <w:tcPr>
            <w:tcW w:w="7027" w:type="dxa"/>
            <w:tcBorders>
              <w:left w:val="single" w:sz="4" w:space="0" w:color="auto"/>
              <w:right w:val="single" w:sz="4" w:space="0" w:color="auto"/>
            </w:tcBorders>
          </w:tcPr>
          <w:p w14:paraId="1518105B" w14:textId="01F796DD"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Wineries</w:t>
            </w:r>
          </w:p>
        </w:tc>
        <w:tc>
          <w:tcPr>
            <w:tcW w:w="2434" w:type="dxa"/>
            <w:tcBorders>
              <w:top w:val="nil"/>
              <w:left w:val="single" w:sz="4" w:space="0" w:color="auto"/>
              <w:bottom w:val="nil"/>
              <w:right w:val="single" w:sz="4" w:space="0" w:color="auto"/>
            </w:tcBorders>
          </w:tcPr>
          <w:p w14:paraId="5738427B" w14:textId="0511F360"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41</w:t>
            </w:r>
          </w:p>
        </w:tc>
      </w:tr>
      <w:tr w:rsidR="00717706" w:rsidRPr="00753D14" w14:paraId="02A6B02F" w14:textId="77777777" w:rsidTr="005665ED">
        <w:trPr>
          <w:trHeight w:val="287"/>
        </w:trPr>
        <w:tc>
          <w:tcPr>
            <w:tcW w:w="7027" w:type="dxa"/>
            <w:tcBorders>
              <w:left w:val="single" w:sz="4" w:space="0" w:color="auto"/>
              <w:right w:val="single" w:sz="4" w:space="0" w:color="auto"/>
            </w:tcBorders>
          </w:tcPr>
          <w:p w14:paraId="5F2D3CA8" w14:textId="0038A871"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Warehousing and storage</w:t>
            </w:r>
          </w:p>
        </w:tc>
        <w:tc>
          <w:tcPr>
            <w:tcW w:w="2434" w:type="dxa"/>
            <w:tcBorders>
              <w:top w:val="nil"/>
              <w:left w:val="single" w:sz="4" w:space="0" w:color="auto"/>
              <w:bottom w:val="nil"/>
              <w:right w:val="single" w:sz="4" w:space="0" w:color="auto"/>
            </w:tcBorders>
          </w:tcPr>
          <w:p w14:paraId="657CDFE8" w14:textId="346C0398"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40</w:t>
            </w:r>
          </w:p>
        </w:tc>
      </w:tr>
      <w:tr w:rsidR="00717706" w:rsidRPr="00753D14" w14:paraId="68C6A8F6" w14:textId="77777777" w:rsidTr="005665ED">
        <w:trPr>
          <w:trHeight w:val="287"/>
        </w:trPr>
        <w:tc>
          <w:tcPr>
            <w:tcW w:w="7027" w:type="dxa"/>
            <w:tcBorders>
              <w:left w:val="single" w:sz="4" w:space="0" w:color="auto"/>
              <w:right w:val="single" w:sz="4" w:space="0" w:color="auto"/>
            </w:tcBorders>
          </w:tcPr>
          <w:p w14:paraId="4FC1B9F0" w14:textId="65A328E5"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Support activities for agriculture and forestry</w:t>
            </w:r>
          </w:p>
        </w:tc>
        <w:tc>
          <w:tcPr>
            <w:tcW w:w="2434" w:type="dxa"/>
            <w:tcBorders>
              <w:top w:val="nil"/>
              <w:left w:val="single" w:sz="4" w:space="0" w:color="auto"/>
              <w:bottom w:val="nil"/>
              <w:right w:val="single" w:sz="4" w:space="0" w:color="auto"/>
            </w:tcBorders>
          </w:tcPr>
          <w:p w14:paraId="5607153D" w14:textId="16461F4C"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38</w:t>
            </w:r>
          </w:p>
        </w:tc>
      </w:tr>
      <w:tr w:rsidR="00717706" w:rsidRPr="00753D14" w14:paraId="51EC0191" w14:textId="77777777" w:rsidTr="005665ED">
        <w:trPr>
          <w:trHeight w:val="287"/>
        </w:trPr>
        <w:tc>
          <w:tcPr>
            <w:tcW w:w="7027" w:type="dxa"/>
            <w:tcBorders>
              <w:left w:val="single" w:sz="4" w:space="0" w:color="auto"/>
              <w:right w:val="single" w:sz="4" w:space="0" w:color="auto"/>
            </w:tcBorders>
          </w:tcPr>
          <w:p w14:paraId="284CE379" w14:textId="67ECBE04"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Grain farming</w:t>
            </w:r>
          </w:p>
        </w:tc>
        <w:tc>
          <w:tcPr>
            <w:tcW w:w="2434" w:type="dxa"/>
            <w:tcBorders>
              <w:top w:val="nil"/>
              <w:left w:val="single" w:sz="4" w:space="0" w:color="auto"/>
              <w:bottom w:val="nil"/>
              <w:right w:val="single" w:sz="4" w:space="0" w:color="auto"/>
            </w:tcBorders>
          </w:tcPr>
          <w:p w14:paraId="28BF6755" w14:textId="16726787"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37</w:t>
            </w:r>
          </w:p>
        </w:tc>
      </w:tr>
      <w:tr w:rsidR="00717706" w:rsidRPr="00753D14" w14:paraId="553063CA" w14:textId="77777777" w:rsidTr="005665ED">
        <w:trPr>
          <w:trHeight w:val="287"/>
        </w:trPr>
        <w:tc>
          <w:tcPr>
            <w:tcW w:w="7027" w:type="dxa"/>
            <w:tcBorders>
              <w:left w:val="single" w:sz="4" w:space="0" w:color="auto"/>
              <w:right w:val="single" w:sz="4" w:space="0" w:color="auto"/>
            </w:tcBorders>
          </w:tcPr>
          <w:p w14:paraId="660501C6" w14:textId="47438F20"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Services to buildings</w:t>
            </w:r>
          </w:p>
        </w:tc>
        <w:tc>
          <w:tcPr>
            <w:tcW w:w="2434" w:type="dxa"/>
            <w:tcBorders>
              <w:top w:val="nil"/>
              <w:left w:val="single" w:sz="4" w:space="0" w:color="auto"/>
              <w:bottom w:val="nil"/>
              <w:right w:val="single" w:sz="4" w:space="0" w:color="auto"/>
            </w:tcBorders>
          </w:tcPr>
          <w:p w14:paraId="6921EA8F" w14:textId="13BDE940"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36</w:t>
            </w:r>
          </w:p>
        </w:tc>
      </w:tr>
      <w:tr w:rsidR="00717706" w:rsidRPr="00753D14" w14:paraId="7BB332E7" w14:textId="77777777" w:rsidTr="005665ED">
        <w:trPr>
          <w:trHeight w:val="287"/>
        </w:trPr>
        <w:tc>
          <w:tcPr>
            <w:tcW w:w="7027" w:type="dxa"/>
            <w:tcBorders>
              <w:left w:val="single" w:sz="4" w:space="0" w:color="auto"/>
              <w:right w:val="single" w:sz="4" w:space="0" w:color="auto"/>
            </w:tcBorders>
          </w:tcPr>
          <w:p w14:paraId="3C710F2E" w14:textId="50B71DB4"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Machine shops</w:t>
            </w:r>
          </w:p>
        </w:tc>
        <w:tc>
          <w:tcPr>
            <w:tcW w:w="2434" w:type="dxa"/>
            <w:tcBorders>
              <w:top w:val="nil"/>
              <w:left w:val="single" w:sz="4" w:space="0" w:color="auto"/>
              <w:bottom w:val="nil"/>
              <w:right w:val="single" w:sz="4" w:space="0" w:color="auto"/>
            </w:tcBorders>
          </w:tcPr>
          <w:p w14:paraId="58602689" w14:textId="14EB96A9"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35</w:t>
            </w:r>
          </w:p>
        </w:tc>
      </w:tr>
      <w:tr w:rsidR="00717706" w:rsidRPr="00753D14" w14:paraId="5C96924F" w14:textId="77777777" w:rsidTr="005665ED">
        <w:trPr>
          <w:trHeight w:val="287"/>
        </w:trPr>
        <w:tc>
          <w:tcPr>
            <w:tcW w:w="7027" w:type="dxa"/>
            <w:tcBorders>
              <w:left w:val="single" w:sz="4" w:space="0" w:color="auto"/>
              <w:right w:val="single" w:sz="4" w:space="0" w:color="auto"/>
            </w:tcBorders>
          </w:tcPr>
          <w:p w14:paraId="24B4BFA8" w14:textId="63315E51"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Scenic and sightseeing transportation and support activities for transportation</w:t>
            </w:r>
          </w:p>
        </w:tc>
        <w:tc>
          <w:tcPr>
            <w:tcW w:w="2434" w:type="dxa"/>
            <w:tcBorders>
              <w:top w:val="nil"/>
              <w:left w:val="single" w:sz="4" w:space="0" w:color="auto"/>
              <w:bottom w:val="nil"/>
              <w:right w:val="single" w:sz="4" w:space="0" w:color="auto"/>
            </w:tcBorders>
          </w:tcPr>
          <w:p w14:paraId="45294DB2" w14:textId="231A88C0"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34</w:t>
            </w:r>
          </w:p>
        </w:tc>
      </w:tr>
      <w:tr w:rsidR="00717706" w:rsidRPr="00753D14" w14:paraId="17E02404" w14:textId="77777777" w:rsidTr="005665ED">
        <w:trPr>
          <w:trHeight w:val="287"/>
        </w:trPr>
        <w:tc>
          <w:tcPr>
            <w:tcW w:w="7027" w:type="dxa"/>
            <w:tcBorders>
              <w:left w:val="single" w:sz="4" w:space="0" w:color="auto"/>
              <w:right w:val="single" w:sz="4" w:space="0" w:color="auto"/>
            </w:tcBorders>
          </w:tcPr>
          <w:p w14:paraId="1777C914" w14:textId="42CE97E9"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Accounting, tax preparation, bookkeeping, and payroll services</w:t>
            </w:r>
          </w:p>
        </w:tc>
        <w:tc>
          <w:tcPr>
            <w:tcW w:w="2434" w:type="dxa"/>
            <w:tcBorders>
              <w:top w:val="nil"/>
              <w:left w:val="single" w:sz="4" w:space="0" w:color="auto"/>
              <w:bottom w:val="nil"/>
              <w:right w:val="single" w:sz="4" w:space="0" w:color="auto"/>
            </w:tcBorders>
          </w:tcPr>
          <w:p w14:paraId="6969B8B7" w14:textId="34B17030"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31</w:t>
            </w:r>
          </w:p>
        </w:tc>
      </w:tr>
      <w:tr w:rsidR="00717706" w:rsidRPr="00753D14" w14:paraId="357BB29D" w14:textId="77777777" w:rsidTr="005665ED">
        <w:trPr>
          <w:trHeight w:val="287"/>
        </w:trPr>
        <w:tc>
          <w:tcPr>
            <w:tcW w:w="7027" w:type="dxa"/>
            <w:tcBorders>
              <w:left w:val="single" w:sz="4" w:space="0" w:color="auto"/>
              <w:right w:val="single" w:sz="4" w:space="0" w:color="auto"/>
            </w:tcBorders>
          </w:tcPr>
          <w:p w14:paraId="0CD277A3" w14:textId="56538EE2"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Full-service restaurants</w:t>
            </w:r>
          </w:p>
        </w:tc>
        <w:tc>
          <w:tcPr>
            <w:tcW w:w="2434" w:type="dxa"/>
            <w:tcBorders>
              <w:top w:val="nil"/>
              <w:left w:val="single" w:sz="4" w:space="0" w:color="auto"/>
              <w:bottom w:val="nil"/>
              <w:right w:val="single" w:sz="4" w:space="0" w:color="auto"/>
            </w:tcBorders>
          </w:tcPr>
          <w:p w14:paraId="014454F4" w14:textId="550B997A"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31</w:t>
            </w:r>
          </w:p>
        </w:tc>
      </w:tr>
      <w:tr w:rsidR="00717706" w:rsidRPr="00753D14" w14:paraId="3DD37635" w14:textId="77777777" w:rsidTr="005665ED">
        <w:trPr>
          <w:trHeight w:val="301"/>
        </w:trPr>
        <w:tc>
          <w:tcPr>
            <w:tcW w:w="7027" w:type="dxa"/>
            <w:tcBorders>
              <w:left w:val="single" w:sz="4" w:space="0" w:color="auto"/>
              <w:bottom w:val="single" w:sz="4" w:space="0" w:color="auto"/>
              <w:right w:val="single" w:sz="4" w:space="0" w:color="auto"/>
            </w:tcBorders>
          </w:tcPr>
          <w:p w14:paraId="657FFDB0" w14:textId="15C2C06D" w:rsidR="00717706" w:rsidRPr="00717706" w:rsidRDefault="00717706" w:rsidP="00717706">
            <w:pPr>
              <w:autoSpaceDE w:val="0"/>
              <w:autoSpaceDN w:val="0"/>
              <w:adjustRightInd w:val="0"/>
              <w:spacing w:after="0" w:line="240" w:lineRule="auto"/>
              <w:rPr>
                <w:rFonts w:ascii="Calibri" w:hAnsi="Calibri" w:cs="Calibri"/>
                <w:color w:val="000000"/>
                <w:sz w:val="20"/>
                <w:szCs w:val="20"/>
              </w:rPr>
            </w:pPr>
            <w:r w:rsidRPr="00717706">
              <w:rPr>
                <w:rFonts w:ascii="Calibri" w:hAnsi="Calibri" w:cs="Calibri"/>
                <w:color w:val="000000"/>
                <w:sz w:val="20"/>
                <w:szCs w:val="20"/>
              </w:rPr>
              <w:t>Management consulting services</w:t>
            </w:r>
          </w:p>
        </w:tc>
        <w:tc>
          <w:tcPr>
            <w:tcW w:w="2434" w:type="dxa"/>
            <w:tcBorders>
              <w:top w:val="nil"/>
              <w:left w:val="single" w:sz="4" w:space="0" w:color="auto"/>
              <w:bottom w:val="single" w:sz="4" w:space="0" w:color="auto"/>
              <w:right w:val="single" w:sz="4" w:space="0" w:color="auto"/>
            </w:tcBorders>
          </w:tcPr>
          <w:p w14:paraId="7A342745" w14:textId="6291E473" w:rsidR="00717706" w:rsidRPr="00717706" w:rsidRDefault="00717706" w:rsidP="005665ED">
            <w:pPr>
              <w:autoSpaceDE w:val="0"/>
              <w:autoSpaceDN w:val="0"/>
              <w:adjustRightInd w:val="0"/>
              <w:spacing w:after="0" w:line="240" w:lineRule="auto"/>
              <w:jc w:val="center"/>
              <w:rPr>
                <w:rFonts w:ascii="Calibri" w:hAnsi="Calibri" w:cs="Calibri"/>
                <w:color w:val="000000"/>
                <w:sz w:val="20"/>
                <w:szCs w:val="20"/>
              </w:rPr>
            </w:pPr>
            <w:r w:rsidRPr="00717706">
              <w:rPr>
                <w:rFonts w:ascii="Calibri" w:hAnsi="Calibri" w:cs="Calibri"/>
                <w:color w:val="000000"/>
                <w:sz w:val="20"/>
                <w:szCs w:val="20"/>
              </w:rPr>
              <w:t>28</w:t>
            </w:r>
          </w:p>
        </w:tc>
      </w:tr>
    </w:tbl>
    <w:p w14:paraId="746A97B5" w14:textId="77777777" w:rsidR="00916F19" w:rsidRPr="00F011A5" w:rsidRDefault="00916F19" w:rsidP="00916F19">
      <w:pPr>
        <w:spacing w:after="0"/>
        <w:jc w:val="both"/>
        <w:rPr>
          <w:sz w:val="18"/>
          <w:szCs w:val="18"/>
        </w:rPr>
      </w:pPr>
      <w:r w:rsidRPr="00753D14">
        <w:t xml:space="preserve"> </w:t>
      </w:r>
      <w:r w:rsidRPr="00753D14">
        <w:rPr>
          <w:sz w:val="18"/>
          <w:szCs w:val="18"/>
        </w:rPr>
        <w:t xml:space="preserve"> </w:t>
      </w:r>
      <w:r w:rsidR="0086740D" w:rsidRPr="00753D14">
        <w:rPr>
          <w:sz w:val="18"/>
          <w:szCs w:val="18"/>
        </w:rPr>
        <w:t>Source: IMPLAN online platform</w:t>
      </w:r>
      <w:r w:rsidRPr="00753D14">
        <w:rPr>
          <w:sz w:val="18"/>
          <w:szCs w:val="18"/>
        </w:rPr>
        <w:t>. Elaboration: J. Oyakawa</w:t>
      </w:r>
    </w:p>
    <w:p w14:paraId="384AED65" w14:textId="77777777" w:rsidR="00916F19" w:rsidRDefault="00916F19" w:rsidP="00916F19"/>
    <w:p w14:paraId="2D82123C" w14:textId="23EEBBFE" w:rsidR="00916F19" w:rsidRDefault="00916F19" w:rsidP="00916F19">
      <w:pPr>
        <w:jc w:val="both"/>
      </w:pPr>
    </w:p>
    <w:p w14:paraId="18AEB706" w14:textId="01B01A0E" w:rsidR="002C0D14" w:rsidRDefault="002C0D14" w:rsidP="00916F19">
      <w:pPr>
        <w:jc w:val="both"/>
      </w:pPr>
    </w:p>
    <w:p w14:paraId="720259C4" w14:textId="77777777" w:rsidR="00916F19" w:rsidRDefault="00916F19" w:rsidP="00916F19">
      <w:pPr>
        <w:pStyle w:val="Heading2"/>
        <w:spacing w:before="0"/>
      </w:pPr>
      <w:bookmarkStart w:id="4" w:name="_Toc34397456"/>
      <w:r>
        <w:lastRenderedPageBreak/>
        <w:t>Taxes</w:t>
      </w:r>
      <w:bookmarkEnd w:id="4"/>
    </w:p>
    <w:p w14:paraId="5F3AA977" w14:textId="77777777" w:rsidR="00916F19" w:rsidRDefault="00916F19" w:rsidP="00916F19">
      <w:pPr>
        <w:spacing w:after="0"/>
        <w:jc w:val="both"/>
      </w:pPr>
    </w:p>
    <w:p w14:paraId="68841E68" w14:textId="48B844C5" w:rsidR="00916F19" w:rsidRPr="006D54C3" w:rsidRDefault="00916F19" w:rsidP="00916F19">
      <w:pPr>
        <w:spacing w:after="0"/>
        <w:jc w:val="both"/>
      </w:pPr>
      <w:r w:rsidRPr="006D54C3">
        <w:t xml:space="preserve">The TABC provides information on monthly gross excise tax collections </w:t>
      </w:r>
      <w:r w:rsidRPr="006D54C3">
        <w:rPr>
          <w:rStyle w:val="FootnoteReference"/>
        </w:rPr>
        <w:footnoteReference w:id="8"/>
      </w:r>
      <w:r w:rsidRPr="006D54C3">
        <w:t xml:space="preserve"> for several years. In </w:t>
      </w:r>
      <w:r w:rsidR="00E5006C" w:rsidRPr="006D54C3">
        <w:t>FY</w:t>
      </w:r>
      <w:r w:rsidRPr="006D54C3">
        <w:t>20</w:t>
      </w:r>
      <w:r w:rsidR="00B03210" w:rsidRPr="006D54C3">
        <w:t>20</w:t>
      </w:r>
      <w:r w:rsidRPr="006D54C3">
        <w:t>, distilled spirits</w:t>
      </w:r>
      <w:r w:rsidR="002444E1" w:rsidRPr="006D54C3">
        <w:t>’</w:t>
      </w:r>
      <w:r w:rsidRPr="006D54C3">
        <w:t xml:space="preserve"> annual tax collections were </w:t>
      </w:r>
      <w:r w:rsidRPr="006D54C3">
        <w:rPr>
          <w:b/>
        </w:rPr>
        <w:t>$</w:t>
      </w:r>
      <w:r w:rsidR="00123C63" w:rsidRPr="006D54C3">
        <w:rPr>
          <w:b/>
        </w:rPr>
        <w:t>1</w:t>
      </w:r>
      <w:r w:rsidR="00FF0FB0" w:rsidRPr="006D54C3">
        <w:rPr>
          <w:b/>
        </w:rPr>
        <w:t>08.9</w:t>
      </w:r>
      <w:r w:rsidRPr="006D54C3">
        <w:rPr>
          <w:b/>
        </w:rPr>
        <w:t xml:space="preserve"> million</w:t>
      </w:r>
      <w:r w:rsidRPr="006D54C3">
        <w:t xml:space="preserve"> (including imported spirits), beer tax collections were $1</w:t>
      </w:r>
      <w:r w:rsidR="00FF0FB0" w:rsidRPr="006D54C3">
        <w:t>08.4</w:t>
      </w:r>
      <w:r w:rsidRPr="006D54C3">
        <w:t xml:space="preserve"> million, and taxes collected from wine were $1</w:t>
      </w:r>
      <w:r w:rsidR="00FF0FB0" w:rsidRPr="006D54C3">
        <w:t>7.3</w:t>
      </w:r>
      <w:r w:rsidRPr="006D54C3">
        <w:t xml:space="preserve"> million. In percentages, distilled spirits accounted for 4</w:t>
      </w:r>
      <w:r w:rsidR="00521B67" w:rsidRPr="006D54C3">
        <w:t>3.</w:t>
      </w:r>
      <w:r w:rsidR="00E5006C" w:rsidRPr="006D54C3">
        <w:t>7</w:t>
      </w:r>
      <w:r w:rsidRPr="006D54C3">
        <w:t xml:space="preserve"> percent of total collections of excise taxes</w:t>
      </w:r>
      <w:r w:rsidR="00686D0C" w:rsidRPr="006D54C3">
        <w:t xml:space="preserve"> (an increase when compared to </w:t>
      </w:r>
      <w:r w:rsidR="001E6F31" w:rsidRPr="006D54C3">
        <w:t>40.3 percent</w:t>
      </w:r>
      <w:r w:rsidR="00217522" w:rsidRPr="006D54C3">
        <w:t xml:space="preserve"> in 2017</w:t>
      </w:r>
      <w:r w:rsidR="001E6F31" w:rsidRPr="006D54C3">
        <w:t>)</w:t>
      </w:r>
      <w:r w:rsidRPr="006D54C3">
        <w:t>, while beer amounted to 4</w:t>
      </w:r>
      <w:r w:rsidR="00AA013C" w:rsidRPr="006D54C3">
        <w:t>3.5</w:t>
      </w:r>
      <w:r w:rsidRPr="006D54C3">
        <w:t xml:space="preserve"> percent. The combined total amounted </w:t>
      </w:r>
      <w:r w:rsidRPr="006D54C3">
        <w:rPr>
          <w:b/>
        </w:rPr>
        <w:t>$2</w:t>
      </w:r>
      <w:r w:rsidR="00FF0FB0" w:rsidRPr="006D54C3">
        <w:rPr>
          <w:b/>
        </w:rPr>
        <w:t>49.3</w:t>
      </w:r>
      <w:r w:rsidRPr="006D54C3">
        <w:rPr>
          <w:b/>
        </w:rPr>
        <w:t xml:space="preserve"> million</w:t>
      </w:r>
      <w:r w:rsidRPr="006D54C3">
        <w:t>.</w:t>
      </w:r>
    </w:p>
    <w:p w14:paraId="374BB702" w14:textId="77777777" w:rsidR="00916F19" w:rsidRPr="00753D14" w:rsidRDefault="00916F19" w:rsidP="00916F19">
      <w:pPr>
        <w:spacing w:after="0"/>
        <w:jc w:val="both"/>
      </w:pPr>
    </w:p>
    <w:p w14:paraId="0F24BF88" w14:textId="2EEFFAAF" w:rsidR="00603798" w:rsidRDefault="00916F19" w:rsidP="00A701F5">
      <w:pPr>
        <w:rPr>
          <w:sz w:val="18"/>
          <w:szCs w:val="18"/>
        </w:rPr>
      </w:pPr>
      <w:r w:rsidRPr="00A701F5">
        <w:t xml:space="preserve">In </w:t>
      </w:r>
      <w:r w:rsidR="00406B63">
        <w:t>FY</w:t>
      </w:r>
      <w:r w:rsidRPr="00A701F5">
        <w:t>20</w:t>
      </w:r>
      <w:r w:rsidR="00236C9F" w:rsidRPr="00A701F5">
        <w:t>20</w:t>
      </w:r>
      <w:r w:rsidRPr="00A701F5">
        <w:t xml:space="preserve">, </w:t>
      </w:r>
      <w:r w:rsidRPr="00A701F5">
        <w:rPr>
          <w:b/>
        </w:rPr>
        <w:t>Texas collected $1.</w:t>
      </w:r>
      <w:r w:rsidR="00DE77C0" w:rsidRPr="00A701F5">
        <w:rPr>
          <w:b/>
        </w:rPr>
        <w:t>2</w:t>
      </w:r>
      <w:r w:rsidRPr="00A701F5">
        <w:rPr>
          <w:b/>
        </w:rPr>
        <w:t xml:space="preserve"> billion in alcoholic beverage taxes</w:t>
      </w:r>
      <w:r w:rsidR="003E33A1" w:rsidRPr="00A701F5">
        <w:rPr>
          <w:b/>
        </w:rPr>
        <w:t>.</w:t>
      </w:r>
      <w:r w:rsidR="00F23182" w:rsidRPr="00A701F5">
        <w:rPr>
          <w:b/>
        </w:rPr>
        <w:t xml:space="preserve"> </w:t>
      </w:r>
      <w:r w:rsidR="009A6908" w:rsidRPr="00A701F5">
        <w:rPr>
          <w:rStyle w:val="FootnoteReference"/>
          <w:b/>
        </w:rPr>
        <w:footnoteReference w:id="9"/>
      </w:r>
      <w:r w:rsidRPr="00A701F5">
        <w:t xml:space="preserve"> As mentioned, close to $2</w:t>
      </w:r>
      <w:r w:rsidR="00E5006C" w:rsidRPr="00A701F5">
        <w:t>49.3</w:t>
      </w:r>
      <w:r w:rsidRPr="00A701F5">
        <w:t xml:space="preserve"> million were </w:t>
      </w:r>
      <w:r w:rsidR="00294310" w:rsidRPr="00A701F5">
        <w:t xml:space="preserve">collected </w:t>
      </w:r>
      <w:r w:rsidRPr="00A701F5">
        <w:t>from excise taxes (including imports), while $</w:t>
      </w:r>
      <w:r w:rsidR="008C5ECA" w:rsidRPr="00A701F5">
        <w:t>968.6</w:t>
      </w:r>
      <w:r w:rsidRPr="00A701F5">
        <w:t xml:space="preserve"> million were </w:t>
      </w:r>
      <w:r w:rsidR="00294310" w:rsidRPr="00A701F5">
        <w:t xml:space="preserve">obtained </w:t>
      </w:r>
      <w:r w:rsidRPr="00A701F5">
        <w:t xml:space="preserve">from Mixed Beverage Taxes (from both </w:t>
      </w:r>
      <w:r w:rsidRPr="00A701F5">
        <w:rPr>
          <w:i/>
        </w:rPr>
        <w:t>gross receipts</w:t>
      </w:r>
      <w:r w:rsidRPr="00A701F5">
        <w:t xml:space="preserve"> and </w:t>
      </w:r>
      <w:r w:rsidRPr="00A701F5">
        <w:rPr>
          <w:i/>
        </w:rPr>
        <w:t>sales</w:t>
      </w:r>
      <w:r w:rsidRPr="00A701F5">
        <w:t xml:space="preserve"> taxes)</w:t>
      </w:r>
      <w:r w:rsidR="00406B63">
        <w:t xml:space="preserve"> in the same fiscal year</w:t>
      </w:r>
      <w:r w:rsidRPr="00A701F5">
        <w:t xml:space="preserve">. </w:t>
      </w:r>
      <w:r w:rsidR="008C5ECA" w:rsidRPr="00A701F5">
        <w:t>Approximately, 56 percent of this amount corresponds to distilled spirits, that is</w:t>
      </w:r>
      <w:r w:rsidR="00EE0B6C">
        <w:t>,</w:t>
      </w:r>
      <w:r w:rsidR="008C5ECA" w:rsidRPr="00A701F5">
        <w:t xml:space="preserve"> </w:t>
      </w:r>
      <w:r w:rsidR="008C5ECA" w:rsidRPr="00A701F5">
        <w:rPr>
          <w:b/>
        </w:rPr>
        <w:t>$542.4 million</w:t>
      </w:r>
      <w:r w:rsidR="00A701F5" w:rsidRPr="00A701F5">
        <w:rPr>
          <w:b/>
        </w:rPr>
        <w:t xml:space="preserve"> were collected from Mixed Beverage Taxes on distilled spirits</w:t>
      </w:r>
      <w:r w:rsidR="008C5ECA" w:rsidRPr="00A701F5">
        <w:t>.</w:t>
      </w:r>
      <w:r>
        <w:t xml:space="preserve"> </w:t>
      </w:r>
      <w:r w:rsidR="00603798" w:rsidRPr="00603798">
        <w:rPr>
          <w:noProof/>
        </w:rPr>
        <w:drawing>
          <wp:inline distT="0" distB="0" distL="0" distR="0" wp14:anchorId="2BC5A810" wp14:editId="640C3B0F">
            <wp:extent cx="59436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511300"/>
                    </a:xfrm>
                    <a:prstGeom prst="rect">
                      <a:avLst/>
                    </a:prstGeom>
                  </pic:spPr>
                </pic:pic>
              </a:graphicData>
            </a:graphic>
          </wp:inline>
        </w:drawing>
      </w:r>
    </w:p>
    <w:p w14:paraId="12BE3747" w14:textId="2DADDA5F" w:rsidR="00916F19" w:rsidRPr="00495990" w:rsidRDefault="00603798" w:rsidP="00916F19">
      <w:pPr>
        <w:spacing w:after="0"/>
        <w:rPr>
          <w:sz w:val="18"/>
          <w:szCs w:val="18"/>
        </w:rPr>
      </w:pPr>
      <w:r>
        <w:rPr>
          <w:sz w:val="18"/>
          <w:szCs w:val="18"/>
        </w:rPr>
        <w:t xml:space="preserve">           </w:t>
      </w:r>
      <w:r w:rsidR="00916F19" w:rsidRPr="00495990">
        <w:rPr>
          <w:sz w:val="18"/>
          <w:szCs w:val="18"/>
        </w:rPr>
        <w:t>Sources:</w:t>
      </w:r>
      <w:r w:rsidR="00A82481">
        <w:rPr>
          <w:sz w:val="18"/>
          <w:szCs w:val="18"/>
        </w:rPr>
        <w:t xml:space="preserve"> </w:t>
      </w:r>
      <w:r w:rsidR="00767BC9">
        <w:rPr>
          <w:sz w:val="18"/>
          <w:szCs w:val="18"/>
        </w:rPr>
        <w:t>TABC</w:t>
      </w:r>
      <w:r w:rsidR="00916F19" w:rsidRPr="00495990">
        <w:rPr>
          <w:sz w:val="18"/>
          <w:szCs w:val="18"/>
        </w:rPr>
        <w:t xml:space="preserve">. </w:t>
      </w:r>
      <w:r w:rsidR="00916F19" w:rsidRPr="00495990">
        <w:rPr>
          <w:rStyle w:val="FootnoteReference"/>
          <w:sz w:val="18"/>
          <w:szCs w:val="18"/>
        </w:rPr>
        <w:footnoteReference w:id="10"/>
      </w:r>
      <w:r w:rsidR="00916F19" w:rsidRPr="00495990">
        <w:rPr>
          <w:sz w:val="18"/>
          <w:szCs w:val="18"/>
        </w:rPr>
        <w:t xml:space="preserve"> </w:t>
      </w:r>
    </w:p>
    <w:p w14:paraId="265B6D2B" w14:textId="77777777" w:rsidR="00916F19" w:rsidRPr="00495990" w:rsidRDefault="00916F19" w:rsidP="00916F19">
      <w:pPr>
        <w:spacing w:after="0"/>
      </w:pPr>
    </w:p>
    <w:p w14:paraId="1C77E450" w14:textId="3BE72AB0" w:rsidR="00916F19" w:rsidRDefault="006F176F" w:rsidP="00916F19">
      <w:pPr>
        <w:jc w:val="both"/>
      </w:pPr>
      <w:r w:rsidRPr="005D58F6">
        <w:t>I</w:t>
      </w:r>
      <w:r w:rsidR="00916F19" w:rsidRPr="005D58F6">
        <w:t>n 20</w:t>
      </w:r>
      <w:r w:rsidR="00DC1434" w:rsidRPr="005D58F6">
        <w:t>20</w:t>
      </w:r>
      <w:r w:rsidR="00916F19" w:rsidRPr="005D58F6">
        <w:t xml:space="preserve">, TABC data </w:t>
      </w:r>
      <w:r w:rsidR="00916F19" w:rsidRPr="005D58F6">
        <w:rPr>
          <w:color w:val="000000" w:themeColor="text1"/>
        </w:rPr>
        <w:t xml:space="preserve">show that close to </w:t>
      </w:r>
      <w:r w:rsidR="0081796E" w:rsidRPr="005D58F6">
        <w:rPr>
          <w:color w:val="000000" w:themeColor="text1"/>
        </w:rPr>
        <w:t>3</w:t>
      </w:r>
      <w:r w:rsidR="005D58F6" w:rsidRPr="005D58F6">
        <w:rPr>
          <w:color w:val="000000" w:themeColor="text1"/>
        </w:rPr>
        <w:t>7.0</w:t>
      </w:r>
      <w:r w:rsidR="00916F19" w:rsidRPr="005D58F6">
        <w:rPr>
          <w:color w:val="000000" w:themeColor="text1"/>
        </w:rPr>
        <w:t xml:space="preserve"> million </w:t>
      </w:r>
      <w:r w:rsidR="00916F19" w:rsidRPr="005D58F6">
        <w:t xml:space="preserve">of distilled spirit gallons were bottled, or sold to wholesalers or exported. This amount generated close to </w:t>
      </w:r>
      <w:r w:rsidR="00916F19" w:rsidRPr="005D58F6">
        <w:rPr>
          <w:b/>
        </w:rPr>
        <w:t>$</w:t>
      </w:r>
      <w:r w:rsidR="005D58F6" w:rsidRPr="005D58F6">
        <w:rPr>
          <w:b/>
        </w:rPr>
        <w:t>383.8</w:t>
      </w:r>
      <w:r w:rsidR="00916F19" w:rsidRPr="005D58F6">
        <w:rPr>
          <w:b/>
        </w:rPr>
        <w:t xml:space="preserve"> million</w:t>
      </w:r>
      <w:r w:rsidR="00916F19" w:rsidRPr="005D58F6">
        <w:t xml:space="preserve"> in federal excise taxes. </w:t>
      </w:r>
    </w:p>
    <w:p w14:paraId="0312FF5B" w14:textId="7F729D36" w:rsidR="00B15B09" w:rsidRDefault="00B15B09" w:rsidP="00B15B09">
      <w:r w:rsidRPr="008E206D">
        <w:t>In 2020, nearly 10 percent of the distillers' output is distributed in Texas, they exported the rest out of the state. Using this percentage to total gallons bottled in 2020, there were 3.7 million gallons for distribution in Texas.</w:t>
      </w:r>
      <w:r w:rsidR="00703DD6" w:rsidRPr="008E206D">
        <w:rPr>
          <w:rStyle w:val="FootnoteReference"/>
        </w:rPr>
        <w:footnoteReference w:id="11"/>
      </w:r>
    </w:p>
    <w:p w14:paraId="0ADAE887" w14:textId="3EF0A031" w:rsidR="00B15B09" w:rsidRPr="00C10692" w:rsidRDefault="00B15B09" w:rsidP="00B15B09">
      <w:r w:rsidRPr="008E206D">
        <w:t xml:space="preserve">In the same year, mixed beverage taxes (for both sales and </w:t>
      </w:r>
      <w:r w:rsidR="00A701F5">
        <w:t xml:space="preserve">gross </w:t>
      </w:r>
      <w:r w:rsidRPr="008E206D">
        <w:t xml:space="preserve">receipts taxes) were levied on 46.8 </w:t>
      </w:r>
      <w:r w:rsidRPr="00C10692">
        <w:t>million gallons distributed in Texas (this includes local and non-local distillers).</w:t>
      </w:r>
      <w:r w:rsidR="00C10692" w:rsidRPr="00C10692">
        <w:rPr>
          <w:rStyle w:val="FootnoteReference"/>
        </w:rPr>
        <w:footnoteReference w:id="12"/>
      </w:r>
      <w:r w:rsidRPr="00C10692">
        <w:t xml:space="preserve"> Then, the number of gallons produced for distribution in Texas represents 7.9 percent of total gallons affected by mixed beverage taxes. </w:t>
      </w:r>
    </w:p>
    <w:p w14:paraId="0B174BCE" w14:textId="2CE6BABA" w:rsidR="00B15B09" w:rsidRDefault="00A701F5" w:rsidP="00B15B09">
      <w:r>
        <w:lastRenderedPageBreak/>
        <w:t>Therefore, o</w:t>
      </w:r>
      <w:r w:rsidR="00B15B09" w:rsidRPr="00C10692">
        <w:t>ut of the $</w:t>
      </w:r>
      <w:r w:rsidR="00C44644" w:rsidRPr="00C10692">
        <w:t>968.6</w:t>
      </w:r>
      <w:r w:rsidR="00B15B09" w:rsidRPr="00C10692">
        <w:t xml:space="preserve"> million, </w:t>
      </w:r>
      <w:r w:rsidR="00B15B09" w:rsidRPr="00C10692">
        <w:rPr>
          <w:b/>
        </w:rPr>
        <w:t>mixed beverage taxes</w:t>
      </w:r>
      <w:r w:rsidR="00B15B09" w:rsidRPr="00C10692">
        <w:t xml:space="preserve"> collected in </w:t>
      </w:r>
      <w:r w:rsidR="00406B63">
        <w:t>FY</w:t>
      </w:r>
      <w:r w:rsidR="00B15B09" w:rsidRPr="00C10692">
        <w:t>2020</w:t>
      </w:r>
      <w:r>
        <w:t xml:space="preserve">, around </w:t>
      </w:r>
      <w:r w:rsidRPr="00A701F5">
        <w:t>$542.4 million were collected from distilled spirits</w:t>
      </w:r>
      <w:r>
        <w:t xml:space="preserve">, and </w:t>
      </w:r>
      <w:r w:rsidR="00B15B09" w:rsidRPr="00C10692">
        <w:t xml:space="preserve">close </w:t>
      </w:r>
      <w:r w:rsidR="00B15B09" w:rsidRPr="00C10692">
        <w:rPr>
          <w:b/>
        </w:rPr>
        <w:t>to $</w:t>
      </w:r>
      <w:r w:rsidR="00C44644" w:rsidRPr="00C10692">
        <w:rPr>
          <w:b/>
        </w:rPr>
        <w:t>42.9</w:t>
      </w:r>
      <w:r w:rsidR="00B15B09" w:rsidRPr="00C10692">
        <w:rPr>
          <w:b/>
        </w:rPr>
        <w:t xml:space="preserve"> million</w:t>
      </w:r>
      <w:r w:rsidR="00B15B09" w:rsidRPr="00C10692">
        <w:t xml:space="preserve"> correspond to Texas distillers production</w:t>
      </w:r>
      <w:r>
        <w:t xml:space="preserve"> (7.9 percent of the distilled spirits taxes)</w:t>
      </w:r>
      <w:r w:rsidR="00B15B09" w:rsidRPr="00C10692">
        <w:t>.</w:t>
      </w:r>
      <w:r w:rsidR="00C44644">
        <w:t xml:space="preserve"> </w:t>
      </w:r>
    </w:p>
    <w:p w14:paraId="6F36AE30" w14:textId="650BF1AB" w:rsidR="008F51BC" w:rsidRPr="006E643B" w:rsidRDefault="008F51BC" w:rsidP="008F51BC">
      <w:pPr>
        <w:jc w:val="both"/>
        <w:rPr>
          <w:b/>
          <w:color w:val="000000" w:themeColor="text1"/>
        </w:rPr>
      </w:pPr>
      <w:r>
        <w:rPr>
          <w:color w:val="000000" w:themeColor="text1"/>
        </w:rPr>
        <w:t>In a similar way, applying the 7.9 percent of mixed beverages produced by state distillers, o</w:t>
      </w:r>
      <w:r w:rsidRPr="00050F1B">
        <w:rPr>
          <w:color w:val="000000" w:themeColor="text1"/>
        </w:rPr>
        <w:t xml:space="preserve">ut of </w:t>
      </w:r>
      <w:r w:rsidRPr="00C44644">
        <w:rPr>
          <w:color w:val="000000" w:themeColor="text1"/>
        </w:rPr>
        <w:t>the $</w:t>
      </w:r>
      <w:r w:rsidR="00681005" w:rsidRPr="00C44644">
        <w:rPr>
          <w:color w:val="000000" w:themeColor="text1"/>
        </w:rPr>
        <w:t>1</w:t>
      </w:r>
      <w:r w:rsidR="00C44644" w:rsidRPr="00C44644">
        <w:rPr>
          <w:color w:val="000000" w:themeColor="text1"/>
        </w:rPr>
        <w:t>08.9</w:t>
      </w:r>
      <w:r w:rsidRPr="00050F1B">
        <w:rPr>
          <w:color w:val="000000" w:themeColor="text1"/>
        </w:rPr>
        <w:t xml:space="preserve"> million in spirits gallonage excise taxes collected by the state in </w:t>
      </w:r>
      <w:r w:rsidR="00F96D53">
        <w:rPr>
          <w:color w:val="000000" w:themeColor="text1"/>
        </w:rPr>
        <w:t>FY</w:t>
      </w:r>
      <w:r w:rsidRPr="00050F1B">
        <w:rPr>
          <w:color w:val="000000" w:themeColor="text1"/>
        </w:rPr>
        <w:t xml:space="preserve">2020, close </w:t>
      </w:r>
      <w:r w:rsidRPr="006E643B">
        <w:rPr>
          <w:b/>
          <w:color w:val="000000" w:themeColor="text1"/>
        </w:rPr>
        <w:t>to $</w:t>
      </w:r>
      <w:r w:rsidR="00C56042">
        <w:rPr>
          <w:b/>
          <w:color w:val="000000" w:themeColor="text1"/>
        </w:rPr>
        <w:t>8.</w:t>
      </w:r>
      <w:r w:rsidR="00C44644">
        <w:rPr>
          <w:b/>
          <w:color w:val="000000" w:themeColor="text1"/>
        </w:rPr>
        <w:t>6</w:t>
      </w:r>
      <w:r w:rsidRPr="006E643B">
        <w:rPr>
          <w:b/>
          <w:color w:val="000000" w:themeColor="text1"/>
        </w:rPr>
        <w:t xml:space="preserve"> million correspond to locally made spirits</w:t>
      </w:r>
    </w:p>
    <w:p w14:paraId="3E7E94CC" w14:textId="0E926BA7" w:rsidR="00916F19" w:rsidRPr="002756A2" w:rsidRDefault="00916F19" w:rsidP="00916F19">
      <w:pPr>
        <w:jc w:val="both"/>
      </w:pPr>
      <w:r w:rsidRPr="002756A2">
        <w:t>Based on survey information for the current study, on IMPLAN's database and historical data from official agencies, it is estimated that</w:t>
      </w:r>
      <w:r w:rsidR="00900598" w:rsidRPr="002756A2">
        <w:t xml:space="preserve"> almost</w:t>
      </w:r>
      <w:r w:rsidRPr="002756A2">
        <w:t xml:space="preserve"> ten percent of the direct payroll of $</w:t>
      </w:r>
      <w:r w:rsidR="002756A2" w:rsidRPr="002756A2">
        <w:t>100.2</w:t>
      </w:r>
      <w:r w:rsidRPr="002756A2">
        <w:t xml:space="preserve"> million from Texan distillers generated $</w:t>
      </w:r>
      <w:r w:rsidR="002756A2" w:rsidRPr="002756A2">
        <w:rPr>
          <w:b/>
        </w:rPr>
        <w:t>9.7</w:t>
      </w:r>
      <w:r w:rsidRPr="002756A2">
        <w:rPr>
          <w:b/>
        </w:rPr>
        <w:t xml:space="preserve"> million</w:t>
      </w:r>
      <w:r w:rsidRPr="002756A2">
        <w:t xml:space="preserve"> in payroll taxes a year.</w:t>
      </w:r>
    </w:p>
    <w:p w14:paraId="476A46BD" w14:textId="774FA7A5" w:rsidR="00B15B09" w:rsidRDefault="00916F19" w:rsidP="00916F19">
      <w:pPr>
        <w:jc w:val="both"/>
      </w:pPr>
      <w:r w:rsidRPr="002756A2">
        <w:t>Similarly, based on survey information, it is estimated that close to 0.32 percent of the direct output of $</w:t>
      </w:r>
      <w:r w:rsidR="00900598" w:rsidRPr="002756A2">
        <w:t>1,2</w:t>
      </w:r>
      <w:r w:rsidR="002756A2" w:rsidRPr="002756A2">
        <w:t>82.7</w:t>
      </w:r>
      <w:r w:rsidR="00900598" w:rsidRPr="002756A2">
        <w:t>.5</w:t>
      </w:r>
      <w:r w:rsidRPr="002756A2">
        <w:t xml:space="preserve"> million was paid in the form of property taxes, thereby expecting that Texas distilleries pay </w:t>
      </w:r>
      <w:r w:rsidRPr="002756A2">
        <w:rPr>
          <w:b/>
        </w:rPr>
        <w:t>$</w:t>
      </w:r>
      <w:r w:rsidR="002756A2" w:rsidRPr="002756A2">
        <w:rPr>
          <w:b/>
        </w:rPr>
        <w:t>4.1</w:t>
      </w:r>
      <w:r w:rsidRPr="002756A2">
        <w:rPr>
          <w:b/>
        </w:rPr>
        <w:t xml:space="preserve"> million</w:t>
      </w:r>
      <w:r w:rsidRPr="002756A2">
        <w:t xml:space="preserve"> in property taxes.</w:t>
      </w:r>
      <w:r>
        <w:t xml:space="preserve"> </w:t>
      </w:r>
    </w:p>
    <w:p w14:paraId="57E9F01A" w14:textId="77777777" w:rsidR="00B15B09" w:rsidRDefault="00B15B09" w:rsidP="00916F19">
      <w:pPr>
        <w:jc w:val="both"/>
      </w:pPr>
    </w:p>
    <w:tbl>
      <w:tblPr>
        <w:tblW w:w="931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03"/>
        <w:gridCol w:w="3114"/>
      </w:tblGrid>
      <w:tr w:rsidR="00916F19" w:rsidRPr="00DC278C" w14:paraId="679F9E4B" w14:textId="77777777" w:rsidTr="00495990">
        <w:trPr>
          <w:trHeight w:val="447"/>
          <w:jc w:val="center"/>
        </w:trPr>
        <w:tc>
          <w:tcPr>
            <w:tcW w:w="9317" w:type="dxa"/>
            <w:gridSpan w:val="2"/>
            <w:tcBorders>
              <w:top w:val="single" w:sz="4" w:space="0" w:color="auto"/>
              <w:left w:val="single" w:sz="4" w:space="0" w:color="auto"/>
              <w:bottom w:val="single" w:sz="4" w:space="0" w:color="auto"/>
              <w:right w:val="single" w:sz="4" w:space="0" w:color="auto"/>
            </w:tcBorders>
          </w:tcPr>
          <w:p w14:paraId="5DAA417F" w14:textId="54810C45" w:rsidR="00916F19" w:rsidRPr="00DC278C" w:rsidRDefault="00916F19" w:rsidP="00E01916">
            <w:pPr>
              <w:autoSpaceDE w:val="0"/>
              <w:autoSpaceDN w:val="0"/>
              <w:adjustRightInd w:val="0"/>
              <w:spacing w:after="0" w:line="240" w:lineRule="auto"/>
              <w:jc w:val="center"/>
              <w:rPr>
                <w:rFonts w:ascii="Calibri" w:hAnsi="Calibri" w:cs="Calibri"/>
                <w:b/>
                <w:bCs/>
                <w:color w:val="000000"/>
                <w:sz w:val="28"/>
                <w:szCs w:val="28"/>
                <w:highlight w:val="red"/>
              </w:rPr>
            </w:pPr>
            <w:r w:rsidRPr="0098491E">
              <w:rPr>
                <w:rFonts w:ascii="Calibri" w:hAnsi="Calibri" w:cs="Calibri"/>
                <w:b/>
                <w:bCs/>
                <w:color w:val="000000"/>
                <w:sz w:val="28"/>
                <w:szCs w:val="28"/>
              </w:rPr>
              <w:t>Summary Taxes Related to Distillers' Activities, 20</w:t>
            </w:r>
            <w:r w:rsidR="0098491E" w:rsidRPr="0098491E">
              <w:rPr>
                <w:rFonts w:ascii="Calibri" w:hAnsi="Calibri" w:cs="Calibri"/>
                <w:b/>
                <w:bCs/>
                <w:color w:val="000000"/>
                <w:sz w:val="28"/>
                <w:szCs w:val="28"/>
              </w:rPr>
              <w:t>20</w:t>
            </w:r>
          </w:p>
        </w:tc>
      </w:tr>
      <w:tr w:rsidR="00916F19" w:rsidRPr="00DC278C" w14:paraId="3A26FB51" w14:textId="77777777" w:rsidTr="00495990">
        <w:trPr>
          <w:trHeight w:val="360"/>
          <w:jc w:val="center"/>
        </w:trPr>
        <w:tc>
          <w:tcPr>
            <w:tcW w:w="6203" w:type="dxa"/>
            <w:tcBorders>
              <w:top w:val="single" w:sz="4" w:space="0" w:color="auto"/>
              <w:left w:val="single" w:sz="4" w:space="0" w:color="auto"/>
              <w:bottom w:val="single" w:sz="4" w:space="0" w:color="auto"/>
            </w:tcBorders>
            <w:shd w:val="solid" w:color="969696" w:fill="auto"/>
          </w:tcPr>
          <w:p w14:paraId="7188986E" w14:textId="77777777" w:rsidR="00916F19" w:rsidRPr="00DC278C" w:rsidRDefault="00495990" w:rsidP="00495990">
            <w:pPr>
              <w:autoSpaceDE w:val="0"/>
              <w:autoSpaceDN w:val="0"/>
              <w:adjustRightInd w:val="0"/>
              <w:spacing w:after="0" w:line="240" w:lineRule="auto"/>
              <w:jc w:val="center"/>
              <w:rPr>
                <w:rFonts w:ascii="Calibri" w:hAnsi="Calibri" w:cs="Calibri"/>
                <w:b/>
                <w:bCs/>
                <w:color w:val="000000"/>
                <w:sz w:val="22"/>
                <w:highlight w:val="red"/>
              </w:rPr>
            </w:pPr>
            <w:r w:rsidRPr="0098491E">
              <w:rPr>
                <w:rFonts w:ascii="Calibri" w:hAnsi="Calibri" w:cs="Calibri"/>
                <w:b/>
                <w:bCs/>
                <w:color w:val="000000"/>
                <w:sz w:val="22"/>
              </w:rPr>
              <w:t>Type of Tax</w:t>
            </w:r>
          </w:p>
        </w:tc>
        <w:tc>
          <w:tcPr>
            <w:tcW w:w="3114" w:type="dxa"/>
            <w:tcBorders>
              <w:top w:val="single" w:sz="4" w:space="0" w:color="auto"/>
              <w:bottom w:val="single" w:sz="4" w:space="0" w:color="auto"/>
              <w:right w:val="single" w:sz="4" w:space="0" w:color="auto"/>
            </w:tcBorders>
            <w:shd w:val="solid" w:color="969696" w:fill="auto"/>
          </w:tcPr>
          <w:p w14:paraId="204CB776" w14:textId="77777777" w:rsidR="00916F19" w:rsidRPr="00DC278C" w:rsidRDefault="00495990" w:rsidP="00495990">
            <w:pPr>
              <w:autoSpaceDE w:val="0"/>
              <w:autoSpaceDN w:val="0"/>
              <w:adjustRightInd w:val="0"/>
              <w:spacing w:after="0" w:line="240" w:lineRule="auto"/>
              <w:jc w:val="center"/>
              <w:rPr>
                <w:rFonts w:ascii="Calibri" w:hAnsi="Calibri" w:cs="Calibri"/>
                <w:b/>
                <w:bCs/>
                <w:color w:val="000000"/>
                <w:sz w:val="22"/>
                <w:highlight w:val="red"/>
              </w:rPr>
            </w:pPr>
            <w:r w:rsidRPr="0098491E">
              <w:rPr>
                <w:rFonts w:ascii="Calibri" w:hAnsi="Calibri" w:cs="Calibri"/>
                <w:b/>
                <w:bCs/>
                <w:color w:val="000000"/>
                <w:sz w:val="22"/>
              </w:rPr>
              <w:t>Amount in Millions of Dollars</w:t>
            </w:r>
          </w:p>
        </w:tc>
      </w:tr>
      <w:tr w:rsidR="00916F19" w:rsidRPr="00DC278C" w14:paraId="0CA19F6E" w14:textId="77777777" w:rsidTr="00495990">
        <w:trPr>
          <w:trHeight w:val="287"/>
          <w:jc w:val="center"/>
        </w:trPr>
        <w:tc>
          <w:tcPr>
            <w:tcW w:w="6203" w:type="dxa"/>
            <w:tcBorders>
              <w:top w:val="single" w:sz="4" w:space="0" w:color="auto"/>
              <w:left w:val="single" w:sz="4" w:space="0" w:color="auto"/>
            </w:tcBorders>
          </w:tcPr>
          <w:p w14:paraId="048416EA" w14:textId="77777777" w:rsidR="00916F19" w:rsidRPr="00DC278C" w:rsidRDefault="00916F19" w:rsidP="00E01916">
            <w:pPr>
              <w:autoSpaceDE w:val="0"/>
              <w:autoSpaceDN w:val="0"/>
              <w:adjustRightInd w:val="0"/>
              <w:spacing w:after="0" w:line="240" w:lineRule="auto"/>
              <w:rPr>
                <w:rFonts w:ascii="Calibri" w:hAnsi="Calibri" w:cs="Calibri"/>
                <w:color w:val="000000"/>
                <w:sz w:val="20"/>
                <w:szCs w:val="20"/>
                <w:highlight w:val="red"/>
              </w:rPr>
            </w:pPr>
            <w:r w:rsidRPr="001B6BA6">
              <w:rPr>
                <w:rFonts w:ascii="Calibri" w:hAnsi="Calibri" w:cs="Calibri"/>
                <w:color w:val="000000"/>
                <w:sz w:val="20"/>
                <w:szCs w:val="20"/>
              </w:rPr>
              <w:t>Federal Excise Tax</w:t>
            </w:r>
          </w:p>
        </w:tc>
        <w:tc>
          <w:tcPr>
            <w:tcW w:w="3114" w:type="dxa"/>
            <w:tcBorders>
              <w:top w:val="single" w:sz="4" w:space="0" w:color="auto"/>
              <w:right w:val="single" w:sz="4" w:space="0" w:color="auto"/>
            </w:tcBorders>
          </w:tcPr>
          <w:p w14:paraId="5A6FC33B" w14:textId="363395FE" w:rsidR="00916F19" w:rsidRPr="001B6BA6" w:rsidRDefault="00AA1DE0" w:rsidP="00E01916">
            <w:pPr>
              <w:autoSpaceDE w:val="0"/>
              <w:autoSpaceDN w:val="0"/>
              <w:adjustRightInd w:val="0"/>
              <w:spacing w:after="0" w:line="240" w:lineRule="auto"/>
              <w:jc w:val="center"/>
              <w:rPr>
                <w:rFonts w:cstheme="minorHAnsi"/>
                <w:color w:val="000000"/>
                <w:sz w:val="20"/>
                <w:szCs w:val="20"/>
                <w:highlight w:val="red"/>
              </w:rPr>
            </w:pPr>
            <w:r w:rsidRPr="001B6BA6">
              <w:rPr>
                <w:rFonts w:cstheme="minorHAnsi"/>
                <w:sz w:val="20"/>
                <w:szCs w:val="20"/>
              </w:rPr>
              <w:t xml:space="preserve">$383.8 </w:t>
            </w:r>
          </w:p>
        </w:tc>
      </w:tr>
      <w:tr w:rsidR="00916F19" w:rsidRPr="00DC278C" w14:paraId="5C9A639F" w14:textId="77777777" w:rsidTr="00495990">
        <w:trPr>
          <w:trHeight w:val="287"/>
          <w:jc w:val="center"/>
        </w:trPr>
        <w:tc>
          <w:tcPr>
            <w:tcW w:w="6203" w:type="dxa"/>
            <w:tcBorders>
              <w:left w:val="single" w:sz="4" w:space="0" w:color="auto"/>
            </w:tcBorders>
          </w:tcPr>
          <w:p w14:paraId="2F6DEF24" w14:textId="78903A81" w:rsidR="00916F19" w:rsidRPr="001B6BA6" w:rsidRDefault="00916F19" w:rsidP="00E01916">
            <w:pPr>
              <w:autoSpaceDE w:val="0"/>
              <w:autoSpaceDN w:val="0"/>
              <w:adjustRightInd w:val="0"/>
              <w:spacing w:after="0" w:line="240" w:lineRule="auto"/>
              <w:rPr>
                <w:rFonts w:ascii="Calibri" w:hAnsi="Calibri" w:cs="Calibri"/>
                <w:color w:val="000000"/>
                <w:sz w:val="20"/>
                <w:szCs w:val="20"/>
              </w:rPr>
            </w:pPr>
            <w:r w:rsidRPr="001B6BA6">
              <w:rPr>
                <w:rFonts w:ascii="Calibri" w:hAnsi="Calibri" w:cs="Calibri"/>
                <w:color w:val="000000"/>
                <w:sz w:val="20"/>
                <w:szCs w:val="20"/>
              </w:rPr>
              <w:t>State Excise Tax</w:t>
            </w:r>
            <w:r w:rsidR="00A05C7E" w:rsidRPr="001B6BA6">
              <w:rPr>
                <w:rFonts w:ascii="Calibri" w:hAnsi="Calibri" w:cs="Calibri"/>
                <w:color w:val="000000"/>
                <w:sz w:val="20"/>
                <w:szCs w:val="20"/>
              </w:rPr>
              <w:t>*</w:t>
            </w:r>
          </w:p>
        </w:tc>
        <w:tc>
          <w:tcPr>
            <w:tcW w:w="3114" w:type="dxa"/>
            <w:tcBorders>
              <w:right w:val="single" w:sz="4" w:space="0" w:color="auto"/>
            </w:tcBorders>
          </w:tcPr>
          <w:p w14:paraId="277C0A0D" w14:textId="617B293E" w:rsidR="00916F19" w:rsidRPr="001B6BA6" w:rsidRDefault="00CE5169" w:rsidP="00E01916">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r w:rsidR="00A701F5">
              <w:rPr>
                <w:rFonts w:ascii="Calibri" w:hAnsi="Calibri" w:cs="Calibri"/>
                <w:color w:val="000000"/>
                <w:sz w:val="20"/>
                <w:szCs w:val="20"/>
              </w:rPr>
              <w:t>8.6</w:t>
            </w:r>
          </w:p>
        </w:tc>
      </w:tr>
      <w:tr w:rsidR="00916F19" w:rsidRPr="00DC278C" w14:paraId="4ABC26CF" w14:textId="77777777" w:rsidTr="00495990">
        <w:trPr>
          <w:trHeight w:val="287"/>
          <w:jc w:val="center"/>
        </w:trPr>
        <w:tc>
          <w:tcPr>
            <w:tcW w:w="6203" w:type="dxa"/>
            <w:tcBorders>
              <w:left w:val="single" w:sz="4" w:space="0" w:color="auto"/>
            </w:tcBorders>
          </w:tcPr>
          <w:p w14:paraId="29ECAEDE" w14:textId="77777777" w:rsidR="00916F19" w:rsidRPr="001B6BA6" w:rsidRDefault="00916F19" w:rsidP="00E01916">
            <w:pPr>
              <w:autoSpaceDE w:val="0"/>
              <w:autoSpaceDN w:val="0"/>
              <w:adjustRightInd w:val="0"/>
              <w:spacing w:after="0" w:line="240" w:lineRule="auto"/>
              <w:rPr>
                <w:rFonts w:ascii="Calibri" w:hAnsi="Calibri" w:cs="Calibri"/>
                <w:color w:val="000000"/>
                <w:sz w:val="20"/>
                <w:szCs w:val="20"/>
              </w:rPr>
            </w:pPr>
            <w:r w:rsidRPr="001B6BA6">
              <w:rPr>
                <w:rFonts w:ascii="Calibri" w:hAnsi="Calibri" w:cs="Calibri"/>
                <w:color w:val="000000"/>
                <w:sz w:val="20"/>
                <w:szCs w:val="20"/>
              </w:rPr>
              <w:t>Payroll Tax</w:t>
            </w:r>
          </w:p>
        </w:tc>
        <w:tc>
          <w:tcPr>
            <w:tcW w:w="3114" w:type="dxa"/>
            <w:tcBorders>
              <w:right w:val="single" w:sz="4" w:space="0" w:color="auto"/>
            </w:tcBorders>
          </w:tcPr>
          <w:p w14:paraId="77FD47E5" w14:textId="22D60388" w:rsidR="00916F19" w:rsidRPr="001B6BA6" w:rsidRDefault="00772275" w:rsidP="00E01916">
            <w:pPr>
              <w:autoSpaceDE w:val="0"/>
              <w:autoSpaceDN w:val="0"/>
              <w:adjustRightInd w:val="0"/>
              <w:spacing w:after="0" w:line="240" w:lineRule="auto"/>
              <w:jc w:val="center"/>
              <w:rPr>
                <w:rFonts w:ascii="Calibri" w:hAnsi="Calibri" w:cs="Calibri"/>
                <w:color w:val="000000"/>
                <w:sz w:val="20"/>
                <w:szCs w:val="20"/>
              </w:rPr>
            </w:pPr>
            <w:r w:rsidRPr="001B6BA6">
              <w:rPr>
                <w:rFonts w:ascii="Calibri" w:hAnsi="Calibri" w:cs="Calibri"/>
                <w:color w:val="000000"/>
                <w:sz w:val="20"/>
                <w:szCs w:val="20"/>
              </w:rPr>
              <w:t>$</w:t>
            </w:r>
            <w:r w:rsidR="001B6BA6" w:rsidRPr="001B6BA6">
              <w:rPr>
                <w:rFonts w:ascii="Calibri" w:hAnsi="Calibri" w:cs="Calibri"/>
                <w:color w:val="000000"/>
                <w:sz w:val="20"/>
                <w:szCs w:val="20"/>
              </w:rPr>
              <w:t>9.7</w:t>
            </w:r>
          </w:p>
        </w:tc>
      </w:tr>
      <w:tr w:rsidR="00916F19" w:rsidRPr="00DC278C" w14:paraId="0C44118B" w14:textId="77777777" w:rsidTr="00495990">
        <w:trPr>
          <w:trHeight w:val="287"/>
          <w:jc w:val="center"/>
        </w:trPr>
        <w:tc>
          <w:tcPr>
            <w:tcW w:w="6203" w:type="dxa"/>
            <w:tcBorders>
              <w:left w:val="single" w:sz="4" w:space="0" w:color="auto"/>
            </w:tcBorders>
          </w:tcPr>
          <w:p w14:paraId="2F29AE8A" w14:textId="77777777" w:rsidR="00916F19" w:rsidRPr="001B6BA6" w:rsidRDefault="00916F19" w:rsidP="00E01916">
            <w:pPr>
              <w:autoSpaceDE w:val="0"/>
              <w:autoSpaceDN w:val="0"/>
              <w:adjustRightInd w:val="0"/>
              <w:spacing w:after="0" w:line="240" w:lineRule="auto"/>
              <w:rPr>
                <w:rFonts w:ascii="Calibri" w:hAnsi="Calibri" w:cs="Calibri"/>
                <w:color w:val="000000"/>
                <w:sz w:val="20"/>
                <w:szCs w:val="20"/>
              </w:rPr>
            </w:pPr>
            <w:r w:rsidRPr="001B6BA6">
              <w:rPr>
                <w:rFonts w:ascii="Calibri" w:hAnsi="Calibri" w:cs="Calibri"/>
                <w:color w:val="000000"/>
                <w:sz w:val="20"/>
                <w:szCs w:val="20"/>
              </w:rPr>
              <w:t>Property Tax</w:t>
            </w:r>
          </w:p>
        </w:tc>
        <w:tc>
          <w:tcPr>
            <w:tcW w:w="3114" w:type="dxa"/>
            <w:tcBorders>
              <w:right w:val="single" w:sz="4" w:space="0" w:color="auto"/>
            </w:tcBorders>
          </w:tcPr>
          <w:p w14:paraId="6D19A7B7" w14:textId="23378EEA" w:rsidR="00916F19" w:rsidRPr="001B6BA6" w:rsidRDefault="00916F19" w:rsidP="00E01916">
            <w:pPr>
              <w:autoSpaceDE w:val="0"/>
              <w:autoSpaceDN w:val="0"/>
              <w:adjustRightInd w:val="0"/>
              <w:spacing w:after="0" w:line="240" w:lineRule="auto"/>
              <w:jc w:val="center"/>
              <w:rPr>
                <w:rFonts w:ascii="Calibri" w:hAnsi="Calibri" w:cs="Calibri"/>
                <w:color w:val="000000"/>
                <w:sz w:val="20"/>
                <w:szCs w:val="20"/>
              </w:rPr>
            </w:pPr>
            <w:r w:rsidRPr="001B6BA6">
              <w:rPr>
                <w:rFonts w:ascii="Calibri" w:hAnsi="Calibri" w:cs="Calibri"/>
                <w:color w:val="000000"/>
                <w:sz w:val="20"/>
                <w:szCs w:val="20"/>
              </w:rPr>
              <w:t>$</w:t>
            </w:r>
            <w:r w:rsidR="001B6BA6" w:rsidRPr="001B6BA6">
              <w:rPr>
                <w:rFonts w:ascii="Calibri" w:hAnsi="Calibri" w:cs="Calibri"/>
                <w:color w:val="000000"/>
                <w:sz w:val="20"/>
                <w:szCs w:val="20"/>
              </w:rPr>
              <w:t>4.1</w:t>
            </w:r>
          </w:p>
        </w:tc>
      </w:tr>
      <w:tr w:rsidR="00916F19" w:rsidRPr="00DC278C" w14:paraId="5F142348" w14:textId="77777777" w:rsidTr="00495990">
        <w:trPr>
          <w:trHeight w:val="287"/>
          <w:jc w:val="center"/>
        </w:trPr>
        <w:tc>
          <w:tcPr>
            <w:tcW w:w="6203" w:type="dxa"/>
            <w:tcBorders>
              <w:left w:val="single" w:sz="4" w:space="0" w:color="auto"/>
            </w:tcBorders>
          </w:tcPr>
          <w:p w14:paraId="2A61B0ED" w14:textId="77777777" w:rsidR="00916F19" w:rsidRPr="0098491E" w:rsidRDefault="00916F19" w:rsidP="00E01916">
            <w:pPr>
              <w:autoSpaceDE w:val="0"/>
              <w:autoSpaceDN w:val="0"/>
              <w:adjustRightInd w:val="0"/>
              <w:spacing w:after="0" w:line="240" w:lineRule="auto"/>
              <w:rPr>
                <w:rFonts w:ascii="Calibri" w:hAnsi="Calibri" w:cs="Calibri"/>
                <w:color w:val="000000"/>
                <w:sz w:val="20"/>
                <w:szCs w:val="20"/>
              </w:rPr>
            </w:pPr>
            <w:r w:rsidRPr="0098491E">
              <w:rPr>
                <w:rFonts w:ascii="Calibri" w:hAnsi="Calibri" w:cs="Calibri"/>
                <w:color w:val="000000"/>
                <w:sz w:val="20"/>
                <w:szCs w:val="20"/>
              </w:rPr>
              <w:t>Package Retail  Sales Tax</w:t>
            </w:r>
          </w:p>
        </w:tc>
        <w:tc>
          <w:tcPr>
            <w:tcW w:w="3114" w:type="dxa"/>
            <w:tcBorders>
              <w:right w:val="single" w:sz="4" w:space="0" w:color="auto"/>
            </w:tcBorders>
          </w:tcPr>
          <w:p w14:paraId="00CD4D1E" w14:textId="77777777" w:rsidR="00916F19" w:rsidRPr="0098491E" w:rsidRDefault="00916F19" w:rsidP="00E01916">
            <w:pPr>
              <w:autoSpaceDE w:val="0"/>
              <w:autoSpaceDN w:val="0"/>
              <w:adjustRightInd w:val="0"/>
              <w:spacing w:after="0" w:line="240" w:lineRule="auto"/>
              <w:jc w:val="center"/>
              <w:rPr>
                <w:rFonts w:ascii="Calibri" w:hAnsi="Calibri" w:cs="Calibri"/>
                <w:color w:val="000000"/>
                <w:sz w:val="20"/>
                <w:szCs w:val="20"/>
              </w:rPr>
            </w:pPr>
            <w:r w:rsidRPr="0098491E">
              <w:rPr>
                <w:rFonts w:ascii="Calibri" w:hAnsi="Calibri" w:cs="Calibri"/>
                <w:color w:val="000000"/>
                <w:sz w:val="20"/>
                <w:szCs w:val="20"/>
              </w:rPr>
              <w:t>$0.</w:t>
            </w:r>
            <w:r w:rsidR="00772275" w:rsidRPr="0098491E">
              <w:rPr>
                <w:rFonts w:ascii="Calibri" w:hAnsi="Calibri" w:cs="Calibri"/>
                <w:color w:val="000000"/>
                <w:sz w:val="20"/>
                <w:szCs w:val="20"/>
              </w:rPr>
              <w:t>2</w:t>
            </w:r>
          </w:p>
        </w:tc>
      </w:tr>
      <w:tr w:rsidR="00916F19" w:rsidRPr="00DC278C" w14:paraId="0A7B656D" w14:textId="77777777" w:rsidTr="00495990">
        <w:trPr>
          <w:trHeight w:val="301"/>
          <w:jc w:val="center"/>
        </w:trPr>
        <w:tc>
          <w:tcPr>
            <w:tcW w:w="6203" w:type="dxa"/>
            <w:tcBorders>
              <w:left w:val="single" w:sz="4" w:space="0" w:color="auto"/>
              <w:bottom w:val="single" w:sz="4" w:space="0" w:color="auto"/>
            </w:tcBorders>
          </w:tcPr>
          <w:p w14:paraId="229A6184" w14:textId="77777777" w:rsidR="00916F19" w:rsidRPr="00F73953" w:rsidRDefault="00916F19" w:rsidP="00E01916">
            <w:pPr>
              <w:autoSpaceDE w:val="0"/>
              <w:autoSpaceDN w:val="0"/>
              <w:adjustRightInd w:val="0"/>
              <w:spacing w:after="0" w:line="240" w:lineRule="auto"/>
              <w:rPr>
                <w:rFonts w:ascii="Calibri" w:hAnsi="Calibri" w:cs="Calibri"/>
                <w:color w:val="000000"/>
                <w:sz w:val="20"/>
                <w:szCs w:val="20"/>
              </w:rPr>
            </w:pPr>
            <w:r w:rsidRPr="00F73953">
              <w:rPr>
                <w:rFonts w:ascii="Calibri" w:hAnsi="Calibri" w:cs="Calibri"/>
                <w:color w:val="000000"/>
                <w:sz w:val="20"/>
                <w:szCs w:val="20"/>
              </w:rPr>
              <w:t>Licenses and fees</w:t>
            </w:r>
          </w:p>
          <w:p w14:paraId="179BDA86" w14:textId="77777777" w:rsidR="00916F19" w:rsidRPr="00F73953" w:rsidRDefault="00916F19" w:rsidP="00E01916">
            <w:pPr>
              <w:autoSpaceDE w:val="0"/>
              <w:autoSpaceDN w:val="0"/>
              <w:adjustRightInd w:val="0"/>
              <w:spacing w:after="0" w:line="240" w:lineRule="auto"/>
              <w:rPr>
                <w:rFonts w:ascii="Calibri" w:hAnsi="Calibri" w:cs="Calibri"/>
                <w:color w:val="000000"/>
                <w:sz w:val="20"/>
                <w:szCs w:val="20"/>
              </w:rPr>
            </w:pPr>
            <w:r w:rsidRPr="00F73953">
              <w:rPr>
                <w:rFonts w:ascii="Calibri" w:hAnsi="Calibri" w:cs="Calibri"/>
                <w:color w:val="000000"/>
                <w:sz w:val="20"/>
                <w:szCs w:val="20"/>
              </w:rPr>
              <w:t xml:space="preserve">Mixed Beverage Sales Tax (on-premise)                                                                                                     </w:t>
            </w:r>
          </w:p>
          <w:p w14:paraId="24ED28AD" w14:textId="77777777" w:rsidR="00916F19" w:rsidRDefault="00916F19" w:rsidP="00E01916">
            <w:pPr>
              <w:autoSpaceDE w:val="0"/>
              <w:autoSpaceDN w:val="0"/>
              <w:adjustRightInd w:val="0"/>
              <w:spacing w:after="0" w:line="240" w:lineRule="auto"/>
              <w:rPr>
                <w:rFonts w:ascii="Calibri" w:hAnsi="Calibri" w:cs="Calibri"/>
                <w:color w:val="000000"/>
                <w:sz w:val="20"/>
                <w:szCs w:val="20"/>
              </w:rPr>
            </w:pPr>
            <w:r w:rsidRPr="00F73953">
              <w:rPr>
                <w:rFonts w:ascii="Calibri" w:hAnsi="Calibri" w:cs="Calibri"/>
                <w:color w:val="000000"/>
                <w:sz w:val="20"/>
                <w:szCs w:val="20"/>
              </w:rPr>
              <w:t>Mixed Beverage Gross Receipts Tax (on-premise)</w:t>
            </w:r>
          </w:p>
          <w:p w14:paraId="511B0ACA" w14:textId="3F8EAD9E" w:rsidR="00B15B09" w:rsidRPr="00F73953" w:rsidRDefault="00B15B09" w:rsidP="00E019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Mixed Beverage Sales and Gross Receipts</w:t>
            </w:r>
            <w:r w:rsidR="00732618">
              <w:rPr>
                <w:rFonts w:ascii="Calibri" w:hAnsi="Calibri" w:cs="Calibri"/>
                <w:color w:val="000000"/>
                <w:sz w:val="20"/>
                <w:szCs w:val="20"/>
              </w:rPr>
              <w:t xml:space="preserve"> from Texas distillers</w:t>
            </w:r>
          </w:p>
        </w:tc>
        <w:tc>
          <w:tcPr>
            <w:tcW w:w="3114" w:type="dxa"/>
            <w:tcBorders>
              <w:bottom w:val="single" w:sz="4" w:space="0" w:color="auto"/>
              <w:right w:val="single" w:sz="4" w:space="0" w:color="auto"/>
            </w:tcBorders>
          </w:tcPr>
          <w:p w14:paraId="1579C57F" w14:textId="77777777" w:rsidR="00916F19" w:rsidRPr="00F73953" w:rsidRDefault="00916F19" w:rsidP="00E01916">
            <w:pPr>
              <w:autoSpaceDE w:val="0"/>
              <w:autoSpaceDN w:val="0"/>
              <w:adjustRightInd w:val="0"/>
              <w:spacing w:after="0" w:line="240" w:lineRule="auto"/>
              <w:jc w:val="center"/>
              <w:rPr>
                <w:rFonts w:ascii="Calibri" w:hAnsi="Calibri" w:cs="Calibri"/>
                <w:color w:val="000000"/>
                <w:sz w:val="20"/>
                <w:szCs w:val="20"/>
              </w:rPr>
            </w:pPr>
            <w:r w:rsidRPr="00F73953">
              <w:rPr>
                <w:rFonts w:ascii="Calibri" w:hAnsi="Calibri" w:cs="Calibri"/>
                <w:color w:val="000000"/>
                <w:sz w:val="20"/>
                <w:szCs w:val="20"/>
              </w:rPr>
              <w:t>$0.</w:t>
            </w:r>
            <w:r w:rsidR="002F7C9F" w:rsidRPr="00F73953">
              <w:rPr>
                <w:rFonts w:ascii="Calibri" w:hAnsi="Calibri" w:cs="Calibri"/>
                <w:color w:val="000000"/>
                <w:sz w:val="20"/>
                <w:szCs w:val="20"/>
              </w:rPr>
              <w:t>6</w:t>
            </w:r>
          </w:p>
          <w:p w14:paraId="7B9A5201" w14:textId="08CC9EB5" w:rsidR="00916F19" w:rsidRPr="00F73953" w:rsidRDefault="00916F19" w:rsidP="00E01916">
            <w:pPr>
              <w:autoSpaceDE w:val="0"/>
              <w:autoSpaceDN w:val="0"/>
              <w:adjustRightInd w:val="0"/>
              <w:spacing w:after="0" w:line="240" w:lineRule="auto"/>
              <w:jc w:val="center"/>
              <w:rPr>
                <w:rFonts w:ascii="Calibri" w:hAnsi="Calibri" w:cs="Calibri"/>
                <w:color w:val="000000"/>
                <w:sz w:val="20"/>
                <w:szCs w:val="20"/>
              </w:rPr>
            </w:pPr>
            <w:r w:rsidRPr="00F73953">
              <w:rPr>
                <w:rFonts w:ascii="Calibri" w:hAnsi="Calibri" w:cs="Calibri"/>
                <w:color w:val="000000"/>
                <w:sz w:val="20"/>
                <w:szCs w:val="20"/>
              </w:rPr>
              <w:t>$0.</w:t>
            </w:r>
            <w:r w:rsidR="00F73953" w:rsidRPr="00F73953">
              <w:rPr>
                <w:rFonts w:ascii="Calibri" w:hAnsi="Calibri" w:cs="Calibri"/>
                <w:color w:val="000000"/>
                <w:sz w:val="20"/>
                <w:szCs w:val="20"/>
              </w:rPr>
              <w:t>5</w:t>
            </w:r>
          </w:p>
          <w:p w14:paraId="3AF14358" w14:textId="54B1671A" w:rsidR="00916F19" w:rsidRDefault="00916F19" w:rsidP="00E01916">
            <w:pPr>
              <w:autoSpaceDE w:val="0"/>
              <w:autoSpaceDN w:val="0"/>
              <w:adjustRightInd w:val="0"/>
              <w:spacing w:after="0" w:line="240" w:lineRule="auto"/>
              <w:jc w:val="center"/>
              <w:rPr>
                <w:rFonts w:ascii="Calibri" w:hAnsi="Calibri" w:cs="Calibri"/>
                <w:color w:val="000000"/>
                <w:sz w:val="20"/>
                <w:szCs w:val="20"/>
              </w:rPr>
            </w:pPr>
            <w:r w:rsidRPr="00F73953">
              <w:rPr>
                <w:rFonts w:ascii="Calibri" w:hAnsi="Calibri" w:cs="Calibri"/>
                <w:color w:val="000000"/>
                <w:sz w:val="20"/>
                <w:szCs w:val="20"/>
              </w:rPr>
              <w:t>$0.</w:t>
            </w:r>
            <w:r w:rsidR="00F73953" w:rsidRPr="00F73953">
              <w:rPr>
                <w:rFonts w:ascii="Calibri" w:hAnsi="Calibri" w:cs="Calibri"/>
                <w:color w:val="000000"/>
                <w:sz w:val="20"/>
                <w:szCs w:val="20"/>
              </w:rPr>
              <w:t>4</w:t>
            </w:r>
          </w:p>
          <w:p w14:paraId="6A48EB65" w14:textId="19816178" w:rsidR="00B15B09" w:rsidRPr="00F73953" w:rsidRDefault="00B15B09" w:rsidP="00B15B0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r w:rsidR="006670AF">
              <w:rPr>
                <w:rFonts w:ascii="Calibri" w:hAnsi="Calibri" w:cs="Calibri"/>
                <w:color w:val="000000"/>
                <w:sz w:val="20"/>
                <w:szCs w:val="20"/>
              </w:rPr>
              <w:t>42.9</w:t>
            </w:r>
          </w:p>
        </w:tc>
      </w:tr>
      <w:tr w:rsidR="00916F19" w:rsidRPr="00DC278C" w14:paraId="72096C38" w14:textId="77777777" w:rsidTr="00495990">
        <w:trPr>
          <w:trHeight w:val="287"/>
          <w:jc w:val="center"/>
        </w:trPr>
        <w:tc>
          <w:tcPr>
            <w:tcW w:w="9317" w:type="dxa"/>
            <w:gridSpan w:val="2"/>
            <w:tcBorders>
              <w:top w:val="single" w:sz="4" w:space="0" w:color="auto"/>
              <w:left w:val="single" w:sz="4" w:space="0" w:color="auto"/>
              <w:bottom w:val="single" w:sz="4" w:space="0" w:color="auto"/>
              <w:right w:val="single" w:sz="4" w:space="0" w:color="auto"/>
            </w:tcBorders>
            <w:shd w:val="solid" w:color="969696" w:fill="auto"/>
          </w:tcPr>
          <w:p w14:paraId="3AEEB102" w14:textId="77777777" w:rsidR="00916F19" w:rsidRPr="00DC278C" w:rsidRDefault="00495990" w:rsidP="00495990">
            <w:pPr>
              <w:autoSpaceDE w:val="0"/>
              <w:autoSpaceDN w:val="0"/>
              <w:adjustRightInd w:val="0"/>
              <w:spacing w:after="0" w:line="240" w:lineRule="auto"/>
              <w:jc w:val="center"/>
              <w:rPr>
                <w:rFonts w:ascii="Calibri" w:hAnsi="Calibri" w:cs="Calibri"/>
                <w:b/>
                <w:bCs/>
                <w:color w:val="000000"/>
                <w:sz w:val="22"/>
                <w:highlight w:val="red"/>
              </w:rPr>
            </w:pPr>
            <w:r w:rsidRPr="00055FA3">
              <w:rPr>
                <w:rFonts w:ascii="Calibri" w:hAnsi="Calibri" w:cs="Calibri"/>
                <w:b/>
                <w:bCs/>
                <w:color w:val="000000"/>
                <w:sz w:val="22"/>
              </w:rPr>
              <w:t>Other Taxes Related to Distillers' Activities</w:t>
            </w:r>
          </w:p>
        </w:tc>
      </w:tr>
      <w:tr w:rsidR="00916F19" w:rsidRPr="00DC278C" w14:paraId="3BF211A3" w14:textId="77777777" w:rsidTr="00495990">
        <w:trPr>
          <w:trHeight w:val="287"/>
          <w:jc w:val="center"/>
        </w:trPr>
        <w:tc>
          <w:tcPr>
            <w:tcW w:w="6203" w:type="dxa"/>
            <w:tcBorders>
              <w:top w:val="single" w:sz="4" w:space="0" w:color="auto"/>
              <w:left w:val="single" w:sz="4" w:space="0" w:color="auto"/>
            </w:tcBorders>
          </w:tcPr>
          <w:p w14:paraId="0C96F3EE" w14:textId="77777777" w:rsidR="00916F19" w:rsidRDefault="00916F19" w:rsidP="00E01916">
            <w:pPr>
              <w:autoSpaceDE w:val="0"/>
              <w:autoSpaceDN w:val="0"/>
              <w:adjustRightInd w:val="0"/>
              <w:spacing w:after="0" w:line="240" w:lineRule="auto"/>
              <w:rPr>
                <w:rFonts w:ascii="Calibri" w:hAnsi="Calibri" w:cs="Calibri"/>
                <w:color w:val="000000"/>
                <w:sz w:val="20"/>
                <w:szCs w:val="20"/>
              </w:rPr>
            </w:pPr>
            <w:r w:rsidRPr="009C2554">
              <w:rPr>
                <w:rFonts w:ascii="Calibri" w:hAnsi="Calibri" w:cs="Calibri"/>
                <w:color w:val="000000"/>
                <w:sz w:val="20"/>
                <w:szCs w:val="20"/>
              </w:rPr>
              <w:t xml:space="preserve">Mixed Beverage Sales </w:t>
            </w:r>
            <w:r w:rsidR="006675FC">
              <w:rPr>
                <w:rFonts w:ascii="Calibri" w:hAnsi="Calibri" w:cs="Calibri"/>
                <w:color w:val="000000"/>
                <w:sz w:val="20"/>
                <w:szCs w:val="20"/>
              </w:rPr>
              <w:t xml:space="preserve">and Gross Receipts </w:t>
            </w:r>
            <w:r w:rsidR="00C8244E">
              <w:rPr>
                <w:rFonts w:ascii="Calibri" w:hAnsi="Calibri" w:cs="Calibri"/>
                <w:color w:val="000000"/>
                <w:sz w:val="20"/>
                <w:szCs w:val="20"/>
              </w:rPr>
              <w:t>State share</w:t>
            </w:r>
          </w:p>
          <w:p w14:paraId="6E89A005" w14:textId="2B5C766D" w:rsidR="00C8244E" w:rsidRPr="009C2554" w:rsidRDefault="00C8244E" w:rsidP="00E01916">
            <w:pPr>
              <w:autoSpaceDE w:val="0"/>
              <w:autoSpaceDN w:val="0"/>
              <w:adjustRightInd w:val="0"/>
              <w:spacing w:after="0" w:line="240" w:lineRule="auto"/>
              <w:rPr>
                <w:rFonts w:ascii="Calibri" w:hAnsi="Calibri" w:cs="Calibri"/>
                <w:color w:val="000000"/>
                <w:sz w:val="20"/>
                <w:szCs w:val="20"/>
              </w:rPr>
            </w:pPr>
            <w:r w:rsidRPr="009C2554">
              <w:rPr>
                <w:rFonts w:ascii="Calibri" w:hAnsi="Calibri" w:cs="Calibri"/>
                <w:color w:val="000000"/>
                <w:sz w:val="20"/>
                <w:szCs w:val="20"/>
              </w:rPr>
              <w:t xml:space="preserve">Mixed Beverage Sales </w:t>
            </w:r>
            <w:r>
              <w:rPr>
                <w:rFonts w:ascii="Calibri" w:hAnsi="Calibri" w:cs="Calibri"/>
                <w:color w:val="000000"/>
                <w:sz w:val="20"/>
                <w:szCs w:val="20"/>
              </w:rPr>
              <w:t>and Gross Receipts  Cities and Counties share</w:t>
            </w:r>
          </w:p>
        </w:tc>
        <w:tc>
          <w:tcPr>
            <w:tcW w:w="3114" w:type="dxa"/>
            <w:tcBorders>
              <w:top w:val="single" w:sz="4" w:space="0" w:color="auto"/>
              <w:right w:val="single" w:sz="4" w:space="0" w:color="auto"/>
            </w:tcBorders>
          </w:tcPr>
          <w:p w14:paraId="5ACD022E" w14:textId="4A7B10CA" w:rsidR="00C8244E" w:rsidRDefault="00772275" w:rsidP="00C8244E">
            <w:pPr>
              <w:autoSpaceDE w:val="0"/>
              <w:autoSpaceDN w:val="0"/>
              <w:adjustRightInd w:val="0"/>
              <w:spacing w:after="0" w:line="240" w:lineRule="auto"/>
              <w:jc w:val="center"/>
              <w:rPr>
                <w:rFonts w:ascii="Calibri" w:hAnsi="Calibri" w:cs="Calibri"/>
                <w:color w:val="000000"/>
                <w:sz w:val="20"/>
                <w:szCs w:val="20"/>
              </w:rPr>
            </w:pPr>
            <w:r w:rsidRPr="009C2554">
              <w:rPr>
                <w:rFonts w:ascii="Calibri" w:hAnsi="Calibri" w:cs="Calibri"/>
                <w:color w:val="000000"/>
                <w:sz w:val="20"/>
                <w:szCs w:val="20"/>
              </w:rPr>
              <w:t>$</w:t>
            </w:r>
            <w:r w:rsidR="00C8244E">
              <w:rPr>
                <w:rFonts w:ascii="Calibri" w:hAnsi="Calibri" w:cs="Calibri"/>
                <w:color w:val="000000"/>
                <w:sz w:val="20"/>
                <w:szCs w:val="20"/>
              </w:rPr>
              <w:t>769.9</w:t>
            </w:r>
          </w:p>
          <w:p w14:paraId="30CCCD70" w14:textId="10D877B4" w:rsidR="00C8244E" w:rsidRPr="00DC278C" w:rsidRDefault="00C8244E" w:rsidP="00C8244E">
            <w:pPr>
              <w:autoSpaceDE w:val="0"/>
              <w:autoSpaceDN w:val="0"/>
              <w:adjustRightInd w:val="0"/>
              <w:spacing w:after="0" w:line="240" w:lineRule="auto"/>
              <w:jc w:val="center"/>
              <w:rPr>
                <w:rFonts w:ascii="Calibri" w:hAnsi="Calibri" w:cs="Calibri"/>
                <w:color w:val="000000"/>
                <w:sz w:val="20"/>
                <w:szCs w:val="20"/>
                <w:highlight w:val="red"/>
              </w:rPr>
            </w:pPr>
            <w:r>
              <w:rPr>
                <w:rFonts w:ascii="Calibri" w:hAnsi="Calibri" w:cs="Calibri"/>
                <w:color w:val="000000"/>
                <w:sz w:val="20"/>
                <w:szCs w:val="20"/>
              </w:rPr>
              <w:t>$198.8</w:t>
            </w:r>
          </w:p>
        </w:tc>
      </w:tr>
    </w:tbl>
    <w:p w14:paraId="3BB5BDD2" w14:textId="42A6028F" w:rsidR="00A05C7E" w:rsidRPr="00055FA3" w:rsidRDefault="00A05C7E" w:rsidP="00A05C7E">
      <w:pPr>
        <w:spacing w:after="0"/>
        <w:rPr>
          <w:sz w:val="18"/>
          <w:szCs w:val="18"/>
        </w:rPr>
      </w:pPr>
      <w:r w:rsidRPr="00055FA3">
        <w:rPr>
          <w:sz w:val="18"/>
          <w:szCs w:val="18"/>
        </w:rPr>
        <w:t>*</w:t>
      </w:r>
      <w:r w:rsidR="00CE5169">
        <w:rPr>
          <w:sz w:val="18"/>
          <w:szCs w:val="18"/>
        </w:rPr>
        <w:t>Using the 7.9 percent of mixed beverage produced by state distillers with the $</w:t>
      </w:r>
      <w:r w:rsidR="00605FB7">
        <w:rPr>
          <w:sz w:val="18"/>
          <w:szCs w:val="18"/>
        </w:rPr>
        <w:t>108.9</w:t>
      </w:r>
      <w:r w:rsidR="00CE5169">
        <w:rPr>
          <w:sz w:val="18"/>
          <w:szCs w:val="18"/>
        </w:rPr>
        <w:t xml:space="preserve"> million of </w:t>
      </w:r>
      <w:r w:rsidR="005255A8">
        <w:rPr>
          <w:sz w:val="18"/>
          <w:szCs w:val="18"/>
        </w:rPr>
        <w:t xml:space="preserve">spirits </w:t>
      </w:r>
      <w:r w:rsidR="00CE5169">
        <w:rPr>
          <w:sz w:val="18"/>
          <w:szCs w:val="18"/>
        </w:rPr>
        <w:t>excise taxes collected by the state</w:t>
      </w:r>
      <w:r w:rsidRPr="00055FA3">
        <w:rPr>
          <w:sz w:val="18"/>
          <w:szCs w:val="18"/>
        </w:rPr>
        <w:t>.</w:t>
      </w:r>
    </w:p>
    <w:p w14:paraId="6B810C34" w14:textId="2096D48D" w:rsidR="00916F19" w:rsidRDefault="00916F19" w:rsidP="00A05C7E">
      <w:pPr>
        <w:spacing w:after="0"/>
        <w:rPr>
          <w:sz w:val="18"/>
          <w:szCs w:val="18"/>
        </w:rPr>
      </w:pPr>
      <w:r w:rsidRPr="00055FA3">
        <w:rPr>
          <w:sz w:val="18"/>
          <w:szCs w:val="18"/>
        </w:rPr>
        <w:t xml:space="preserve">Source: Survey responses, TABC annual report, IMPLAN, </w:t>
      </w:r>
      <w:r w:rsidR="0054437D" w:rsidRPr="00055FA3">
        <w:rPr>
          <w:sz w:val="18"/>
          <w:szCs w:val="18"/>
        </w:rPr>
        <w:t>Texas General Historic Revenues and Mixed Beverage Taxes, Allocation Historical Summary</w:t>
      </w:r>
      <w:r w:rsidRPr="00055FA3">
        <w:rPr>
          <w:sz w:val="18"/>
          <w:szCs w:val="18"/>
        </w:rPr>
        <w:t>. Elaboration: J. Oyakawa</w:t>
      </w:r>
    </w:p>
    <w:p w14:paraId="5564DA6C" w14:textId="77777777" w:rsidR="00A05C7E" w:rsidRPr="00495990" w:rsidRDefault="00A05C7E" w:rsidP="00A05C7E">
      <w:pPr>
        <w:spacing w:after="0"/>
        <w:rPr>
          <w:sz w:val="18"/>
          <w:szCs w:val="18"/>
        </w:rPr>
      </w:pPr>
    </w:p>
    <w:p w14:paraId="50BE1569" w14:textId="26A8167A" w:rsidR="00916F19" w:rsidRPr="00495990" w:rsidRDefault="00916F19" w:rsidP="00916F19">
      <w:pPr>
        <w:rPr>
          <w:sz w:val="18"/>
          <w:szCs w:val="18"/>
        </w:rPr>
      </w:pPr>
      <w:r w:rsidRPr="00495990">
        <w:t>In addition, another 0.05 percent, or</w:t>
      </w:r>
      <w:r w:rsidR="0081796E" w:rsidRPr="00495990">
        <w:t xml:space="preserve"> over</w:t>
      </w:r>
      <w:r w:rsidRPr="00495990">
        <w:t xml:space="preserve"> </w:t>
      </w:r>
      <w:r w:rsidRPr="00495990">
        <w:rPr>
          <w:b/>
        </w:rPr>
        <w:t>$</w:t>
      </w:r>
      <w:r w:rsidR="006A1CB8">
        <w:rPr>
          <w:b/>
        </w:rPr>
        <w:t>607,450</w:t>
      </w:r>
      <w:r w:rsidRPr="00495990">
        <w:t xml:space="preserve">, was paid in the form of licenses and fees. Additionally, </w:t>
      </w:r>
      <w:r w:rsidRPr="00495990">
        <w:rPr>
          <w:b/>
        </w:rPr>
        <w:t>$1</w:t>
      </w:r>
      <w:r w:rsidR="006A1CB8">
        <w:rPr>
          <w:b/>
        </w:rPr>
        <w:t>7</w:t>
      </w:r>
      <w:r w:rsidR="00636BB2">
        <w:rPr>
          <w:b/>
        </w:rPr>
        <w:t>5</w:t>
      </w:r>
      <w:r w:rsidR="006A1CB8">
        <w:rPr>
          <w:b/>
        </w:rPr>
        <w:t xml:space="preserve">,570 </w:t>
      </w:r>
      <w:r w:rsidRPr="00495990">
        <w:t>or close to 0.01 percent was paid in the form of package retail tax.</w:t>
      </w:r>
    </w:p>
    <w:p w14:paraId="63F210FE" w14:textId="412BEF5B" w:rsidR="00495990" w:rsidRDefault="00916F19" w:rsidP="00916F19">
      <w:pPr>
        <w:rPr>
          <w:b/>
        </w:rPr>
      </w:pPr>
      <w:r w:rsidRPr="00495990">
        <w:t xml:space="preserve">The study estimated, based on Texas Comptroller’s data, that distillers paid for </w:t>
      </w:r>
      <w:r w:rsidRPr="00495990">
        <w:rPr>
          <w:b/>
        </w:rPr>
        <w:t>on-premise sales</w:t>
      </w:r>
      <w:r w:rsidRPr="00495990">
        <w:t xml:space="preserve"> in the form of </w:t>
      </w:r>
      <w:r w:rsidRPr="00495990">
        <w:rPr>
          <w:b/>
          <w:i/>
        </w:rPr>
        <w:t>mixed beverages sales tax</w:t>
      </w:r>
      <w:r w:rsidRPr="00495990">
        <w:rPr>
          <w:b/>
        </w:rPr>
        <w:t xml:space="preserve"> the amount of</w:t>
      </w:r>
      <w:r w:rsidR="00217522" w:rsidRPr="00495990">
        <w:rPr>
          <w:b/>
        </w:rPr>
        <w:t xml:space="preserve"> almost</w:t>
      </w:r>
      <w:r w:rsidRPr="00495990">
        <w:rPr>
          <w:b/>
        </w:rPr>
        <w:t xml:space="preserve"> $</w:t>
      </w:r>
      <w:r w:rsidR="001473FE">
        <w:rPr>
          <w:b/>
        </w:rPr>
        <w:t>481,450</w:t>
      </w:r>
      <w:r w:rsidRPr="00495990">
        <w:rPr>
          <w:b/>
        </w:rPr>
        <w:t>,</w:t>
      </w:r>
      <w:r w:rsidRPr="00495990">
        <w:t xml:space="preserve"> and for </w:t>
      </w:r>
      <w:r w:rsidRPr="00495990">
        <w:rPr>
          <w:b/>
          <w:i/>
        </w:rPr>
        <w:t>mixed beverage gross receipts tax</w:t>
      </w:r>
      <w:r w:rsidRPr="00495990">
        <w:rPr>
          <w:b/>
        </w:rPr>
        <w:t xml:space="preserve"> the amount of $</w:t>
      </w:r>
      <w:r w:rsidR="001473FE">
        <w:rPr>
          <w:b/>
        </w:rPr>
        <w:t>391,000</w:t>
      </w:r>
      <w:r w:rsidRPr="00495990">
        <w:rPr>
          <w:b/>
        </w:rPr>
        <w:t>.</w:t>
      </w:r>
    </w:p>
    <w:p w14:paraId="4D8A4CAD" w14:textId="4DAC61C9" w:rsidR="00221726" w:rsidRDefault="00221726" w:rsidP="00916F19"/>
    <w:p w14:paraId="69304D29" w14:textId="77777777" w:rsidR="00221726" w:rsidRDefault="00221726" w:rsidP="00916F19"/>
    <w:p w14:paraId="10800406" w14:textId="77777777" w:rsidR="00C44500" w:rsidRDefault="00C44500" w:rsidP="00C44500">
      <w:pPr>
        <w:pStyle w:val="Heading1"/>
      </w:pPr>
      <w:bookmarkStart w:id="5" w:name="_Toc34397464"/>
      <w:r>
        <w:lastRenderedPageBreak/>
        <w:t>Appendix: Local Suppliers</w:t>
      </w:r>
      <w:bookmarkEnd w:id="5"/>
    </w:p>
    <w:p w14:paraId="1A2724BC" w14:textId="77777777" w:rsidR="00C44500" w:rsidRDefault="00C44500" w:rsidP="00C44500">
      <w:r>
        <w:t xml:space="preserve">The following table shows a selected list of the Regional Purchase Coefficients (RPC), based on IMPLAN, for the suppliers of commodities and services in the distillers’ supply chain. </w:t>
      </w:r>
    </w:p>
    <w:p w14:paraId="6AB90FDE" w14:textId="77777777" w:rsidR="00C44500" w:rsidRDefault="00C44500" w:rsidP="00C44500">
      <w:r>
        <w:t>The RPC indicates the percentage of the distillers’ demand for goods and services that is satisfied by local producers.</w:t>
      </w:r>
    </w:p>
    <w:p w14:paraId="1DEF43B1" w14:textId="3895C462" w:rsidR="00C44500" w:rsidRDefault="00193EDF" w:rsidP="00C44500">
      <w:pPr>
        <w:spacing w:after="0"/>
        <w:jc w:val="both"/>
      </w:pPr>
      <w:r w:rsidRPr="00193EDF">
        <w:rPr>
          <w:noProof/>
        </w:rPr>
        <w:drawing>
          <wp:inline distT="0" distB="0" distL="0" distR="0" wp14:anchorId="649BBB91" wp14:editId="427AC9F5">
            <wp:extent cx="5916168" cy="2395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168" cy="2395728"/>
                    </a:xfrm>
                    <a:prstGeom prst="rect">
                      <a:avLst/>
                    </a:prstGeom>
                  </pic:spPr>
                </pic:pic>
              </a:graphicData>
            </a:graphic>
          </wp:inline>
        </w:drawing>
      </w:r>
      <w:r w:rsidR="00C44500">
        <w:tab/>
      </w:r>
    </w:p>
    <w:p w14:paraId="2724B39A" w14:textId="77777777" w:rsidR="00193EDF" w:rsidRDefault="00193EDF" w:rsidP="00C44500">
      <w:pPr>
        <w:spacing w:after="0"/>
        <w:jc w:val="both"/>
      </w:pPr>
    </w:p>
    <w:p w14:paraId="7F0496C4" w14:textId="7BA2946A" w:rsidR="00C44500" w:rsidRDefault="00764CE6" w:rsidP="00C44500">
      <w:pPr>
        <w:spacing w:after="0"/>
        <w:jc w:val="both"/>
      </w:pPr>
      <w:r w:rsidRPr="007A2260">
        <w:t>Regarding</w:t>
      </w:r>
      <w:r w:rsidR="00C44500" w:rsidRPr="007A2260">
        <w:t xml:space="preserve"> wholesale traders</w:t>
      </w:r>
      <w:r w:rsidR="00217522" w:rsidRPr="007A2260">
        <w:t xml:space="preserve"> for nondurables</w:t>
      </w:r>
      <w:r w:rsidR="00C44500" w:rsidRPr="007A2260">
        <w:t xml:space="preserve">, </w:t>
      </w:r>
      <w:r w:rsidR="00C2210F">
        <w:t>close to 86.9 percent</w:t>
      </w:r>
      <w:r w:rsidR="00C44500" w:rsidRPr="007A2260">
        <w:t xml:space="preserve"> of the $</w:t>
      </w:r>
      <w:r w:rsidR="00C2210F">
        <w:t>10</w:t>
      </w:r>
      <w:r w:rsidR="0078495D">
        <w:t>6.7</w:t>
      </w:r>
      <w:r w:rsidR="00C44500" w:rsidRPr="007A2260">
        <w:t xml:space="preserve"> million demanded by distillers comes from local suppliers. </w:t>
      </w:r>
      <w:r w:rsidRPr="007A2260">
        <w:t>With respect to</w:t>
      </w:r>
      <w:r w:rsidR="00C44500" w:rsidRPr="007A2260">
        <w:t xml:space="preserve"> truck transportation, 9</w:t>
      </w:r>
      <w:r w:rsidR="00C2210F">
        <w:t>8.9</w:t>
      </w:r>
      <w:r w:rsidRPr="007A2260">
        <w:t xml:space="preserve"> </w:t>
      </w:r>
      <w:r w:rsidR="00C44500" w:rsidRPr="007A2260">
        <w:t>percent of the $</w:t>
      </w:r>
      <w:r w:rsidR="00217522" w:rsidRPr="007A2260">
        <w:t>2</w:t>
      </w:r>
      <w:r w:rsidR="0078495D">
        <w:t>6.0</w:t>
      </w:r>
      <w:r w:rsidR="00C44500" w:rsidRPr="007A2260">
        <w:t xml:space="preserve"> million required comes from local suppliers. </w:t>
      </w:r>
      <w:r w:rsidRPr="007A2260">
        <w:t>As for</w:t>
      </w:r>
      <w:r w:rsidR="00C44500" w:rsidRPr="007A2260">
        <w:t xml:space="preserve"> grain farming, </w:t>
      </w:r>
      <w:r w:rsidR="00217522" w:rsidRPr="007A2260">
        <w:t>3</w:t>
      </w:r>
      <w:r w:rsidR="00C2210F">
        <w:t>0.6</w:t>
      </w:r>
      <w:r w:rsidR="00C44500" w:rsidRPr="007A2260">
        <w:t xml:space="preserve"> percent of the $</w:t>
      </w:r>
      <w:r w:rsidR="00C2210F">
        <w:t>5.5</w:t>
      </w:r>
      <w:r w:rsidR="00C44500" w:rsidRPr="007A2260">
        <w:t xml:space="preserve"> million demanded comes from local suppliers.</w:t>
      </w:r>
    </w:p>
    <w:p w14:paraId="6E18E99E" w14:textId="77777777" w:rsidR="00C44500" w:rsidRDefault="00C44500" w:rsidP="00C44500">
      <w:pPr>
        <w:spacing w:after="0"/>
        <w:jc w:val="both"/>
      </w:pPr>
    </w:p>
    <w:p w14:paraId="4CC73B86" w14:textId="77777777" w:rsidR="00C44500" w:rsidRDefault="00C44500" w:rsidP="00C44500">
      <w:pPr>
        <w:spacing w:after="0"/>
        <w:jc w:val="both"/>
      </w:pPr>
    </w:p>
    <w:p w14:paraId="12435787" w14:textId="77777777" w:rsidR="00C44500" w:rsidRDefault="00C44500" w:rsidP="00916F19"/>
    <w:p w14:paraId="3C819356" w14:textId="77777777" w:rsidR="00916F19" w:rsidRDefault="00916F19" w:rsidP="00916F19"/>
    <w:p w14:paraId="51FE140C" w14:textId="77777777" w:rsidR="00916F19" w:rsidRDefault="00916F19" w:rsidP="00916F19"/>
    <w:p w14:paraId="1B53E6FB" w14:textId="77777777" w:rsidR="00916F19" w:rsidRDefault="00916F19" w:rsidP="00916F19"/>
    <w:p w14:paraId="7CD0DDC2" w14:textId="77777777" w:rsidR="00916F19" w:rsidRDefault="00916F19" w:rsidP="00916F19"/>
    <w:p w14:paraId="73D84C9E" w14:textId="77777777" w:rsidR="00916F19" w:rsidRDefault="00916F19" w:rsidP="00916F19"/>
    <w:p w14:paraId="4C002E07" w14:textId="77777777" w:rsidR="00916F19" w:rsidRDefault="00916F19" w:rsidP="00916F19"/>
    <w:p w14:paraId="3DF29A49" w14:textId="77777777" w:rsidR="00916F19" w:rsidRDefault="00916F19" w:rsidP="00916F19"/>
    <w:p w14:paraId="1F15B0E6" w14:textId="77777777" w:rsidR="00916F19" w:rsidRDefault="00916F19" w:rsidP="00916F19"/>
    <w:p w14:paraId="1E301AE2" w14:textId="77777777" w:rsidR="00916F19" w:rsidRDefault="00916F19" w:rsidP="00916F19"/>
    <w:p w14:paraId="368413D6" w14:textId="77777777" w:rsidR="00916F19" w:rsidRDefault="00916F19" w:rsidP="00916F19"/>
    <w:p w14:paraId="03F9DA61" w14:textId="77777777" w:rsidR="00916F19" w:rsidRDefault="00916F19" w:rsidP="00916F19"/>
    <w:p w14:paraId="233B625A" w14:textId="77777777" w:rsidR="00916F19" w:rsidRDefault="00916F19" w:rsidP="00916F19"/>
    <w:p w14:paraId="3838E97E" w14:textId="77777777" w:rsidR="00916F19" w:rsidRDefault="00916F19" w:rsidP="00916F19"/>
    <w:p w14:paraId="7A625598" w14:textId="77777777" w:rsidR="00916F19" w:rsidRDefault="00916F19" w:rsidP="00916F19"/>
    <w:p w14:paraId="297AABB8" w14:textId="77777777" w:rsidR="00916F19" w:rsidRDefault="00916F19" w:rsidP="00916F19"/>
    <w:p w14:paraId="621A834A" w14:textId="77777777" w:rsidR="00916F19" w:rsidRDefault="0086740D" w:rsidP="00916F19">
      <w:r w:rsidRPr="00953281">
        <w:rPr>
          <w:noProof/>
        </w:rPr>
        <w:drawing>
          <wp:anchor distT="0" distB="0" distL="114300" distR="114300" simplePos="0" relativeHeight="251661312" behindDoc="0" locked="0" layoutInCell="1" allowOverlap="1" wp14:anchorId="3535883E" wp14:editId="61B8847E">
            <wp:simplePos x="0" y="0"/>
            <wp:positionH relativeFrom="column">
              <wp:posOffset>1516380</wp:posOffset>
            </wp:positionH>
            <wp:positionV relativeFrom="paragraph">
              <wp:posOffset>256540</wp:posOffset>
            </wp:positionV>
            <wp:extent cx="2181225" cy="914400"/>
            <wp:effectExtent l="0" t="0" r="9525" b="0"/>
            <wp:wrapNone/>
            <wp:docPr id="6" name="Picture 6" descr="C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R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B98BB" w14:textId="77777777" w:rsidR="00FB6BFD" w:rsidRDefault="00FB6BFD"/>
    <w:sectPr w:rsidR="00FB6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29B0" w14:textId="77777777" w:rsidR="008A12D0" w:rsidRDefault="008A12D0" w:rsidP="00916F19">
      <w:pPr>
        <w:spacing w:after="0" w:line="240" w:lineRule="auto"/>
      </w:pPr>
      <w:r>
        <w:separator/>
      </w:r>
    </w:p>
  </w:endnote>
  <w:endnote w:type="continuationSeparator" w:id="0">
    <w:p w14:paraId="392ADBC2" w14:textId="77777777" w:rsidR="008A12D0" w:rsidRDefault="008A12D0" w:rsidP="0091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4A87B6" w14:textId="77777777" w:rsidR="008C5ECA" w:rsidRDefault="008C5E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ACFD9" w14:textId="77777777" w:rsidR="008C5ECA" w:rsidRDefault="008C5E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06877" w14:textId="77777777" w:rsidR="008C5ECA" w:rsidRDefault="008C5ECA">
    <w:pPr>
      <w:pStyle w:val="Footer"/>
      <w:jc w:val="right"/>
    </w:pPr>
  </w:p>
  <w:p w14:paraId="2FD4488A" w14:textId="77777777" w:rsidR="008C5ECA" w:rsidRDefault="008C5EC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37192807"/>
      <w:docPartObj>
        <w:docPartGallery w:val="Page Numbers (Bottom of Page)"/>
        <w:docPartUnique/>
      </w:docPartObj>
    </w:sdtPr>
    <w:sdtEndPr>
      <w:rPr>
        <w:noProof/>
      </w:rPr>
    </w:sdtEndPr>
    <w:sdtContent>
      <w:p w14:paraId="4698E665" w14:textId="0443C3F4" w:rsidR="008C5ECA" w:rsidRDefault="008C5ECA">
        <w:pPr>
          <w:pStyle w:val="Footer"/>
          <w:jc w:val="center"/>
        </w:pPr>
        <w:r>
          <w:fldChar w:fldCharType="begin"/>
        </w:r>
        <w:r>
          <w:instrText xml:space="preserve"> PAGE   \* MERGEFORMAT </w:instrText>
        </w:r>
        <w:r>
          <w:fldChar w:fldCharType="separate"/>
        </w:r>
        <w:r w:rsidR="00A728E7">
          <w:rPr>
            <w:noProof/>
          </w:rPr>
          <w:t>2</w:t>
        </w:r>
        <w:r>
          <w:rPr>
            <w:noProof/>
          </w:rPr>
          <w:fldChar w:fldCharType="end"/>
        </w:r>
      </w:p>
    </w:sdtContent>
  </w:sdt>
  <w:p w14:paraId="306256D7" w14:textId="77777777" w:rsidR="008C5ECA" w:rsidRDefault="008C5E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ABB5" w14:textId="77777777" w:rsidR="008A12D0" w:rsidRDefault="008A12D0" w:rsidP="00916F19">
      <w:pPr>
        <w:spacing w:after="0" w:line="240" w:lineRule="auto"/>
      </w:pPr>
      <w:r>
        <w:separator/>
      </w:r>
    </w:p>
  </w:footnote>
  <w:footnote w:type="continuationSeparator" w:id="0">
    <w:p w14:paraId="4693C615" w14:textId="77777777" w:rsidR="008A12D0" w:rsidRDefault="008A12D0" w:rsidP="00916F19">
      <w:pPr>
        <w:spacing w:after="0" w:line="240" w:lineRule="auto"/>
      </w:pPr>
      <w:r>
        <w:continuationSeparator/>
      </w:r>
    </w:p>
  </w:footnote>
  <w:footnote w:id="1">
    <w:p w14:paraId="11648448" w14:textId="77777777" w:rsidR="008C5ECA" w:rsidRDefault="008C5ECA" w:rsidP="000E77B4">
      <w:pPr>
        <w:pStyle w:val="FootnoteText"/>
      </w:pPr>
      <w:r w:rsidRPr="00DE12FD">
        <w:rPr>
          <w:rStyle w:val="FootnoteReference"/>
          <w:rFonts w:asciiTheme="minorHAnsi" w:hAnsiTheme="minorHAnsi"/>
          <w:sz w:val="18"/>
          <w:szCs w:val="18"/>
        </w:rPr>
        <w:footnoteRef/>
      </w:r>
      <w:r w:rsidRPr="00DE12FD">
        <w:rPr>
          <w:rFonts w:asciiTheme="minorHAnsi" w:hAnsiTheme="minorHAnsi"/>
          <w:sz w:val="18"/>
          <w:szCs w:val="18"/>
        </w:rPr>
        <w:t xml:space="preserve"> </w:t>
      </w:r>
      <w:r w:rsidRPr="003B74B6">
        <w:rPr>
          <w:rFonts w:asciiTheme="minorHAnsi" w:hAnsiTheme="minorHAnsi"/>
          <w:sz w:val="18"/>
          <w:szCs w:val="18"/>
        </w:rPr>
        <w:t>The group marketing and advertising includes several industries: advertising, public relations and related services</w:t>
      </w:r>
      <w:r>
        <w:rPr>
          <w:rFonts w:asciiTheme="minorHAnsi" w:hAnsiTheme="minorHAnsi"/>
          <w:sz w:val="18"/>
          <w:szCs w:val="18"/>
        </w:rPr>
        <w:t>,</w:t>
      </w:r>
      <w:r w:rsidRPr="003B74B6">
        <w:rPr>
          <w:rFonts w:asciiTheme="minorHAnsi" w:hAnsiTheme="minorHAnsi"/>
          <w:sz w:val="18"/>
          <w:szCs w:val="18"/>
        </w:rPr>
        <w:t xml:space="preserve"> photographic services</w:t>
      </w:r>
      <w:r>
        <w:rPr>
          <w:rFonts w:asciiTheme="minorHAnsi" w:hAnsiTheme="minorHAnsi"/>
          <w:sz w:val="18"/>
          <w:szCs w:val="18"/>
        </w:rPr>
        <w:t>,</w:t>
      </w:r>
      <w:r w:rsidRPr="003B74B6">
        <w:rPr>
          <w:rFonts w:asciiTheme="minorHAnsi" w:hAnsiTheme="minorHAnsi"/>
          <w:sz w:val="18"/>
          <w:szCs w:val="18"/>
        </w:rPr>
        <w:t xml:space="preserve"> marketing research</w:t>
      </w:r>
      <w:r>
        <w:rPr>
          <w:rFonts w:asciiTheme="minorHAnsi" w:hAnsiTheme="minorHAnsi"/>
          <w:sz w:val="18"/>
          <w:szCs w:val="18"/>
        </w:rPr>
        <w:t>,</w:t>
      </w:r>
      <w:r w:rsidRPr="003B74B6">
        <w:rPr>
          <w:rFonts w:asciiTheme="minorHAnsi" w:hAnsiTheme="minorHAnsi"/>
          <w:sz w:val="18"/>
          <w:szCs w:val="18"/>
        </w:rPr>
        <w:t xml:space="preserve"> management consulting services</w:t>
      </w:r>
      <w:r>
        <w:rPr>
          <w:rFonts w:asciiTheme="minorHAnsi" w:hAnsiTheme="minorHAnsi"/>
          <w:sz w:val="18"/>
          <w:szCs w:val="18"/>
        </w:rPr>
        <w:t>,</w:t>
      </w:r>
      <w:r w:rsidRPr="003B74B6">
        <w:rPr>
          <w:rFonts w:asciiTheme="minorHAnsi" w:hAnsiTheme="minorHAnsi"/>
          <w:sz w:val="18"/>
          <w:szCs w:val="18"/>
        </w:rPr>
        <w:t xml:space="preserve"> internet publishing and web search portals</w:t>
      </w:r>
      <w:r>
        <w:rPr>
          <w:rFonts w:asciiTheme="minorHAnsi" w:hAnsiTheme="minorHAnsi"/>
          <w:sz w:val="18"/>
          <w:szCs w:val="18"/>
        </w:rPr>
        <w:t>,</w:t>
      </w:r>
      <w:r w:rsidRPr="003B74B6">
        <w:rPr>
          <w:rFonts w:asciiTheme="minorHAnsi" w:hAnsiTheme="minorHAnsi"/>
          <w:sz w:val="18"/>
          <w:szCs w:val="18"/>
        </w:rPr>
        <w:t xml:space="preserve"> news syndicates</w:t>
      </w:r>
      <w:r>
        <w:rPr>
          <w:rFonts w:asciiTheme="minorHAnsi" w:hAnsiTheme="minorHAnsi"/>
          <w:sz w:val="18"/>
          <w:szCs w:val="18"/>
        </w:rPr>
        <w:t>,</w:t>
      </w:r>
      <w:r w:rsidRPr="003B74B6">
        <w:rPr>
          <w:rFonts w:asciiTheme="minorHAnsi" w:hAnsiTheme="minorHAnsi"/>
          <w:sz w:val="18"/>
          <w:szCs w:val="18"/>
        </w:rPr>
        <w:t xml:space="preserve"> radio and television</w:t>
      </w:r>
      <w:r>
        <w:rPr>
          <w:rFonts w:asciiTheme="minorHAnsi" w:hAnsiTheme="minorHAnsi"/>
          <w:sz w:val="18"/>
          <w:szCs w:val="18"/>
        </w:rPr>
        <w:t>,</w:t>
      </w:r>
      <w:r w:rsidRPr="003B74B6">
        <w:rPr>
          <w:rFonts w:asciiTheme="minorHAnsi" w:hAnsiTheme="minorHAnsi"/>
          <w:sz w:val="18"/>
          <w:szCs w:val="18"/>
        </w:rPr>
        <w:t xml:space="preserve"> newspapers</w:t>
      </w:r>
      <w:r>
        <w:rPr>
          <w:rFonts w:asciiTheme="minorHAnsi" w:hAnsiTheme="minorHAnsi"/>
          <w:sz w:val="18"/>
          <w:szCs w:val="18"/>
        </w:rPr>
        <w:t>,</w:t>
      </w:r>
      <w:r w:rsidRPr="003B74B6">
        <w:rPr>
          <w:rFonts w:asciiTheme="minorHAnsi" w:hAnsiTheme="minorHAnsi"/>
          <w:sz w:val="18"/>
          <w:szCs w:val="18"/>
        </w:rPr>
        <w:t xml:space="preserve"> and other periodical publishers</w:t>
      </w:r>
      <w:r>
        <w:rPr>
          <w:rFonts w:asciiTheme="minorHAnsi" w:hAnsiTheme="minorHAnsi"/>
          <w:sz w:val="18"/>
          <w:szCs w:val="18"/>
        </w:rPr>
        <w:t>.</w:t>
      </w:r>
    </w:p>
  </w:footnote>
  <w:footnote w:id="2">
    <w:p w14:paraId="58338590" w14:textId="77777777" w:rsidR="008C5ECA" w:rsidRPr="0010081F" w:rsidRDefault="008C5ECA" w:rsidP="00916F19">
      <w:pPr>
        <w:pStyle w:val="FootnoteText"/>
        <w:rPr>
          <w:rFonts w:asciiTheme="minorHAnsi" w:hAnsiTheme="minorHAnsi"/>
          <w:sz w:val="18"/>
          <w:szCs w:val="18"/>
        </w:rPr>
      </w:pPr>
      <w:r w:rsidRPr="0010081F">
        <w:rPr>
          <w:rStyle w:val="FootnoteReference"/>
          <w:rFonts w:asciiTheme="minorHAnsi" w:hAnsiTheme="minorHAnsi"/>
          <w:sz w:val="18"/>
          <w:szCs w:val="18"/>
        </w:rPr>
        <w:footnoteRef/>
      </w:r>
      <w:r w:rsidRPr="0010081F">
        <w:rPr>
          <w:rFonts w:asciiTheme="minorHAnsi" w:hAnsiTheme="minorHAnsi"/>
          <w:sz w:val="18"/>
          <w:szCs w:val="18"/>
        </w:rPr>
        <w:t xml:space="preserve"> Taken from IMPLAN </w:t>
      </w:r>
      <w:r>
        <w:rPr>
          <w:rFonts w:asciiTheme="minorHAnsi" w:hAnsiTheme="minorHAnsi"/>
          <w:sz w:val="18"/>
          <w:szCs w:val="18"/>
        </w:rPr>
        <w:t>web</w:t>
      </w:r>
      <w:r w:rsidRPr="0010081F">
        <w:rPr>
          <w:rFonts w:asciiTheme="minorHAnsi" w:hAnsiTheme="minorHAnsi"/>
          <w:sz w:val="18"/>
          <w:szCs w:val="18"/>
        </w:rPr>
        <w:t xml:space="preserve">site: </w:t>
      </w:r>
      <w:hyperlink r:id="rId1" w:history="1">
        <w:r w:rsidRPr="0010081F">
          <w:rPr>
            <w:rStyle w:val="Hyperlink"/>
            <w:rFonts w:asciiTheme="minorHAnsi" w:hAnsiTheme="minorHAnsi"/>
            <w:sz w:val="18"/>
            <w:szCs w:val="18"/>
          </w:rPr>
          <w:t>https://implanhelp.zendesk.com/hc/en-us/articles/115009679628-Income-FAQ</w:t>
        </w:r>
      </w:hyperlink>
    </w:p>
  </w:footnote>
  <w:footnote w:id="3">
    <w:p w14:paraId="1F4287AD" w14:textId="1285B9B3" w:rsidR="008C5ECA" w:rsidRDefault="008C5ECA">
      <w:pPr>
        <w:pStyle w:val="FootnoteText"/>
      </w:pPr>
      <w:r w:rsidRPr="005B0CCE">
        <w:rPr>
          <w:rFonts w:asciiTheme="minorHAnsi" w:hAnsiTheme="minorHAnsi"/>
          <w:sz w:val="18"/>
          <w:szCs w:val="18"/>
        </w:rPr>
        <w:footnoteRef/>
      </w:r>
      <w:r w:rsidRPr="005B0CCE">
        <w:rPr>
          <w:rFonts w:asciiTheme="minorHAnsi" w:hAnsiTheme="minorHAnsi"/>
          <w:sz w:val="18"/>
          <w:szCs w:val="18"/>
        </w:rPr>
        <w:t xml:space="preserve"> IMPLAN® model, </w:t>
      </w:r>
      <w:r>
        <w:rPr>
          <w:rFonts w:asciiTheme="minorHAnsi" w:hAnsiTheme="minorHAnsi"/>
          <w:sz w:val="18"/>
          <w:szCs w:val="18"/>
        </w:rPr>
        <w:t>2020</w:t>
      </w:r>
      <w:r w:rsidRPr="005B0CCE">
        <w:rPr>
          <w:rFonts w:asciiTheme="minorHAnsi" w:hAnsiTheme="minorHAnsi"/>
          <w:sz w:val="18"/>
          <w:szCs w:val="18"/>
        </w:rPr>
        <w:t xml:space="preserve"> Data, using inputs provided by the user and IMPLAN Group LLC, IMPLAN System (data and software), 16905 Northcross Dr., Suite 120, Huntersville, NC 28078 </w:t>
      </w:r>
      <w:hyperlink r:id="rId2">
        <w:r w:rsidRPr="005B0CCE">
          <w:rPr>
            <w:rStyle w:val="Hyperlink"/>
            <w:sz w:val="18"/>
            <w:szCs w:val="18"/>
          </w:rPr>
          <w:t>www.IMPLAN.com</w:t>
        </w:r>
      </w:hyperlink>
    </w:p>
  </w:footnote>
  <w:footnote w:id="4">
    <w:p w14:paraId="182565FD" w14:textId="77777777" w:rsidR="008C5ECA" w:rsidRDefault="008C5ECA" w:rsidP="00916F19">
      <w:pPr>
        <w:pStyle w:val="FootnoteText"/>
      </w:pPr>
      <w:r w:rsidRPr="0010081F">
        <w:rPr>
          <w:rStyle w:val="FootnoteReference"/>
          <w:rFonts w:asciiTheme="minorHAnsi" w:hAnsiTheme="minorHAnsi"/>
          <w:sz w:val="18"/>
          <w:szCs w:val="18"/>
        </w:rPr>
        <w:footnoteRef/>
      </w:r>
      <w:r w:rsidRPr="0010081F">
        <w:rPr>
          <w:rFonts w:asciiTheme="minorHAnsi" w:hAnsiTheme="minorHAnsi"/>
          <w:sz w:val="18"/>
          <w:szCs w:val="18"/>
        </w:rPr>
        <w:t xml:space="preserve"> Gross state product (GSP) is a better measurement of regional economic activity because it does not include the value of intermediate goods bought from outside the area of study and used in the production process. However, output or revenues are easier concepts to understand.</w:t>
      </w:r>
    </w:p>
  </w:footnote>
  <w:footnote w:id="5">
    <w:p w14:paraId="6DC659B3" w14:textId="77777777" w:rsidR="008C5ECA" w:rsidRPr="0010081F" w:rsidRDefault="008C5ECA" w:rsidP="00916F19">
      <w:pPr>
        <w:pStyle w:val="FootnoteText"/>
        <w:rPr>
          <w:rFonts w:asciiTheme="minorHAnsi" w:hAnsiTheme="minorHAnsi"/>
          <w:sz w:val="18"/>
          <w:szCs w:val="18"/>
        </w:rPr>
      </w:pPr>
      <w:r w:rsidRPr="0010081F">
        <w:rPr>
          <w:rStyle w:val="FootnoteReference"/>
          <w:rFonts w:asciiTheme="minorHAnsi" w:hAnsiTheme="minorHAnsi"/>
          <w:sz w:val="18"/>
          <w:szCs w:val="18"/>
        </w:rPr>
        <w:footnoteRef/>
      </w:r>
      <w:r w:rsidRPr="0010081F">
        <w:rPr>
          <w:rStyle w:val="FootnoteReference"/>
          <w:rFonts w:asciiTheme="minorHAnsi" w:hAnsiTheme="minorHAnsi"/>
          <w:sz w:val="18"/>
          <w:szCs w:val="18"/>
        </w:rPr>
        <w:t xml:space="preserve"> </w:t>
      </w:r>
      <w:r w:rsidRPr="0010081F">
        <w:rPr>
          <w:rFonts w:asciiTheme="minorHAnsi" w:hAnsiTheme="minorHAnsi"/>
          <w:sz w:val="18"/>
          <w:szCs w:val="18"/>
        </w:rPr>
        <w:t xml:space="preserve">Taken from IMPLAN </w:t>
      </w:r>
      <w:r>
        <w:rPr>
          <w:rFonts w:asciiTheme="minorHAnsi" w:hAnsiTheme="minorHAnsi"/>
          <w:sz w:val="18"/>
          <w:szCs w:val="18"/>
        </w:rPr>
        <w:t>web</w:t>
      </w:r>
      <w:r w:rsidRPr="0010081F">
        <w:rPr>
          <w:rFonts w:asciiTheme="minorHAnsi" w:hAnsiTheme="minorHAnsi"/>
          <w:sz w:val="18"/>
          <w:szCs w:val="18"/>
        </w:rPr>
        <w:t>site:</w:t>
      </w:r>
      <w:r w:rsidRPr="0010081F">
        <w:rPr>
          <w:rStyle w:val="Hyperlink"/>
          <w:rFonts w:asciiTheme="minorHAnsi" w:hAnsiTheme="minorHAnsi"/>
          <w:sz w:val="18"/>
          <w:szCs w:val="18"/>
        </w:rPr>
        <w:t xml:space="preserve"> </w:t>
      </w:r>
      <w:hyperlink r:id="rId3" w:history="1">
        <w:r w:rsidRPr="0010081F">
          <w:rPr>
            <w:rStyle w:val="Hyperlink"/>
            <w:rFonts w:asciiTheme="minorHAnsi" w:hAnsiTheme="minorHAnsi"/>
            <w:sz w:val="18"/>
            <w:szCs w:val="18"/>
          </w:rPr>
          <w:t>https://implanhelp.zendesk.com/hc/en-us/articles/115009668388-Output</w:t>
        </w:r>
      </w:hyperlink>
    </w:p>
  </w:footnote>
  <w:footnote w:id="6">
    <w:p w14:paraId="6D6C0A1B" w14:textId="77777777" w:rsidR="008C5ECA" w:rsidRPr="0010081F" w:rsidRDefault="008C5ECA" w:rsidP="00916F19">
      <w:pPr>
        <w:pStyle w:val="FootnoteText"/>
        <w:rPr>
          <w:rFonts w:asciiTheme="minorHAnsi" w:hAnsiTheme="minorHAnsi"/>
          <w:sz w:val="18"/>
          <w:szCs w:val="18"/>
        </w:rPr>
      </w:pPr>
      <w:r w:rsidRPr="0010081F">
        <w:rPr>
          <w:rStyle w:val="FootnoteReference"/>
          <w:rFonts w:asciiTheme="minorHAnsi" w:hAnsiTheme="minorHAnsi"/>
          <w:sz w:val="18"/>
          <w:szCs w:val="18"/>
        </w:rPr>
        <w:footnoteRef/>
      </w:r>
      <w:r w:rsidRPr="0010081F">
        <w:rPr>
          <w:rFonts w:asciiTheme="minorHAnsi" w:hAnsiTheme="minorHAnsi"/>
          <w:sz w:val="18"/>
          <w:szCs w:val="18"/>
        </w:rPr>
        <w:t xml:space="preserve"> </w:t>
      </w:r>
      <w:r w:rsidRPr="0010081F">
        <w:rPr>
          <w:rFonts w:asciiTheme="minorHAnsi" w:hAnsiTheme="minorHAnsi" w:cs="Tahoma"/>
          <w:color w:val="333333"/>
          <w:sz w:val="18"/>
          <w:szCs w:val="18"/>
          <w:shd w:val="clear" w:color="auto" w:fill="F5F5F5"/>
        </w:rPr>
        <w:t>Taken from</w:t>
      </w:r>
      <w:r>
        <w:rPr>
          <w:rFonts w:asciiTheme="minorHAnsi" w:hAnsiTheme="minorHAnsi" w:cs="Tahoma"/>
          <w:color w:val="333333"/>
          <w:sz w:val="18"/>
          <w:szCs w:val="18"/>
          <w:shd w:val="clear" w:color="auto" w:fill="F5F5F5"/>
        </w:rPr>
        <w:t xml:space="preserve"> IMPLAN website at:</w:t>
      </w:r>
      <w:r w:rsidRPr="0010081F">
        <w:rPr>
          <w:rStyle w:val="Hyperlink"/>
          <w:rFonts w:asciiTheme="minorHAnsi" w:hAnsiTheme="minorHAnsi"/>
          <w:sz w:val="18"/>
          <w:szCs w:val="18"/>
        </w:rPr>
        <w:t xml:space="preserve"> </w:t>
      </w:r>
      <w:hyperlink r:id="rId4" w:history="1">
        <w:r w:rsidRPr="0010081F">
          <w:rPr>
            <w:rStyle w:val="Hyperlink"/>
            <w:rFonts w:asciiTheme="minorHAnsi" w:hAnsiTheme="minorHAnsi"/>
            <w:sz w:val="18"/>
            <w:szCs w:val="18"/>
          </w:rPr>
          <w:t>https://implanhelp.zendesk.com/hc/en-us/articles/115009498847-Value-Added</w:t>
        </w:r>
      </w:hyperlink>
    </w:p>
  </w:footnote>
  <w:footnote w:id="7">
    <w:p w14:paraId="64CCA52B" w14:textId="77777777" w:rsidR="008C5ECA" w:rsidRPr="006F11D3" w:rsidRDefault="008C5ECA" w:rsidP="00916F19">
      <w:pPr>
        <w:pStyle w:val="FootnoteText"/>
        <w:rPr>
          <w:rFonts w:asciiTheme="minorHAnsi" w:hAnsiTheme="minorHAnsi"/>
          <w:sz w:val="18"/>
          <w:szCs w:val="18"/>
        </w:rPr>
      </w:pPr>
      <w:r w:rsidRPr="006F11D3">
        <w:rPr>
          <w:rStyle w:val="FootnoteReference"/>
          <w:rFonts w:asciiTheme="minorHAnsi" w:hAnsiTheme="minorHAnsi"/>
          <w:sz w:val="18"/>
          <w:szCs w:val="18"/>
        </w:rPr>
        <w:footnoteRef/>
      </w:r>
      <w:r w:rsidRPr="006F11D3">
        <w:rPr>
          <w:rFonts w:asciiTheme="minorHAnsi" w:hAnsiTheme="minorHAnsi"/>
          <w:sz w:val="18"/>
          <w:szCs w:val="18"/>
        </w:rPr>
        <w:t xml:space="preserve"> Based on IMPLAN database for Regional Purchase Coefficients.</w:t>
      </w:r>
    </w:p>
  </w:footnote>
  <w:footnote w:id="8">
    <w:p w14:paraId="19E94A1A" w14:textId="5A9C44BB" w:rsidR="008C5ECA" w:rsidRPr="0010081F" w:rsidRDefault="008C5ECA" w:rsidP="00916F19">
      <w:pPr>
        <w:pStyle w:val="FootnoteText"/>
        <w:jc w:val="left"/>
        <w:rPr>
          <w:rFonts w:asciiTheme="minorHAnsi" w:hAnsiTheme="minorHAnsi"/>
          <w:sz w:val="18"/>
          <w:szCs w:val="18"/>
        </w:rPr>
      </w:pPr>
      <w:r w:rsidRPr="0010081F">
        <w:rPr>
          <w:rStyle w:val="FootnoteReference"/>
          <w:rFonts w:asciiTheme="minorHAnsi" w:hAnsiTheme="minorHAnsi"/>
          <w:sz w:val="18"/>
          <w:szCs w:val="18"/>
        </w:rPr>
        <w:footnoteRef/>
      </w:r>
      <w:r w:rsidRPr="0010081F">
        <w:rPr>
          <w:rFonts w:asciiTheme="minorHAnsi" w:hAnsiTheme="minorHAnsi"/>
          <w:sz w:val="18"/>
          <w:szCs w:val="18"/>
        </w:rPr>
        <w:t xml:space="preserve"> </w:t>
      </w:r>
      <w:r w:rsidR="00E5006C">
        <w:rPr>
          <w:sz w:val="18"/>
          <w:szCs w:val="18"/>
        </w:rPr>
        <w:t>Communication with DISCUS economic studies Director.</w:t>
      </w:r>
    </w:p>
  </w:footnote>
  <w:footnote w:id="9">
    <w:p w14:paraId="25CC7501" w14:textId="77777777" w:rsidR="008C5ECA" w:rsidRDefault="008C5ECA" w:rsidP="009A6908">
      <w:pPr>
        <w:pStyle w:val="FootnoteText"/>
        <w:jc w:val="left"/>
      </w:pPr>
      <w:r w:rsidRPr="009A6908">
        <w:rPr>
          <w:rStyle w:val="FootnoteReference"/>
          <w:rFonts w:asciiTheme="minorHAnsi" w:hAnsiTheme="minorHAnsi"/>
          <w:sz w:val="18"/>
          <w:szCs w:val="18"/>
        </w:rPr>
        <w:footnoteRef/>
      </w:r>
      <w:r w:rsidRPr="009A6908">
        <w:rPr>
          <w:rStyle w:val="FootnoteReference"/>
        </w:rPr>
        <w:t xml:space="preserve"> </w:t>
      </w:r>
      <w:r w:rsidRPr="009A6908">
        <w:rPr>
          <w:rFonts w:asciiTheme="minorHAnsi" w:hAnsiTheme="minorHAnsi"/>
          <w:sz w:val="18"/>
          <w:szCs w:val="18"/>
        </w:rPr>
        <w:t>A field guide to Taxes of Texas by Glenn Hegar.</w:t>
      </w:r>
    </w:p>
  </w:footnote>
  <w:footnote w:id="10">
    <w:p w14:paraId="2FB16BA0" w14:textId="1635B476" w:rsidR="008C5ECA" w:rsidRPr="00290897" w:rsidRDefault="008C5ECA" w:rsidP="00703DD6">
      <w:pPr>
        <w:spacing w:after="0"/>
        <w:rPr>
          <w:rFonts w:ascii="Calibri" w:eastAsia="Times New Roman" w:hAnsi="Calibri" w:cs="Calibri"/>
          <w:color w:val="000000"/>
          <w:sz w:val="22"/>
        </w:rPr>
      </w:pPr>
      <w:r w:rsidRPr="00B46E5A">
        <w:rPr>
          <w:rStyle w:val="FootnoteReference"/>
          <w:sz w:val="18"/>
          <w:szCs w:val="18"/>
        </w:rPr>
        <w:footnoteRef/>
      </w:r>
      <w:r w:rsidRPr="00B46E5A">
        <w:rPr>
          <w:sz w:val="18"/>
          <w:szCs w:val="18"/>
        </w:rPr>
        <w:t xml:space="preserve"> </w:t>
      </w:r>
      <w:r w:rsidR="00767BC9">
        <w:rPr>
          <w:sz w:val="18"/>
          <w:szCs w:val="18"/>
        </w:rPr>
        <w:t>Communication with DISCUS economic studies Director.</w:t>
      </w:r>
    </w:p>
  </w:footnote>
  <w:footnote w:id="11">
    <w:p w14:paraId="6B0623D0" w14:textId="6CED896F" w:rsidR="00703DD6" w:rsidRDefault="00703DD6" w:rsidP="00703DD6">
      <w:pPr>
        <w:pStyle w:val="FootnoteText"/>
        <w:jc w:val="left"/>
      </w:pPr>
      <w:r w:rsidRPr="00C10692">
        <w:rPr>
          <w:rStyle w:val="FootnoteReference"/>
          <w:rFonts w:asciiTheme="minorHAnsi" w:eastAsiaTheme="minorHAnsi" w:hAnsiTheme="minorHAnsi" w:cstheme="minorBidi"/>
          <w:kern w:val="0"/>
          <w:sz w:val="18"/>
          <w:szCs w:val="18"/>
        </w:rPr>
        <w:footnoteRef/>
      </w:r>
      <w:r w:rsidRPr="00C10692">
        <w:rPr>
          <w:rStyle w:val="FootnoteReference"/>
          <w:rFonts w:asciiTheme="minorHAnsi" w:eastAsiaTheme="minorHAnsi" w:hAnsiTheme="minorHAnsi" w:cstheme="minorBidi"/>
          <w:kern w:val="0"/>
          <w:sz w:val="18"/>
          <w:szCs w:val="18"/>
        </w:rPr>
        <w:t xml:space="preserve"> </w:t>
      </w:r>
      <w:r w:rsidRPr="00C10692">
        <w:rPr>
          <w:rFonts w:asciiTheme="minorHAnsi" w:hAnsiTheme="minorHAnsi"/>
          <w:sz w:val="18"/>
          <w:szCs w:val="18"/>
        </w:rPr>
        <w:t>Based on IMPLAN data</w:t>
      </w:r>
      <w:r w:rsidR="00C10692" w:rsidRPr="00C10692">
        <w:rPr>
          <w:rFonts w:asciiTheme="minorHAnsi" w:hAnsiTheme="minorHAnsi"/>
          <w:sz w:val="18"/>
          <w:szCs w:val="18"/>
        </w:rPr>
        <w:t xml:space="preserve"> using calendar year 2020</w:t>
      </w:r>
      <w:r w:rsidR="00C10692">
        <w:rPr>
          <w:rFonts w:asciiTheme="minorHAnsi" w:hAnsiTheme="minorHAnsi"/>
          <w:sz w:val="18"/>
          <w:szCs w:val="18"/>
        </w:rPr>
        <w:t xml:space="preserve"> and TABC calendar year 2020 data.</w:t>
      </w:r>
    </w:p>
  </w:footnote>
  <w:footnote w:id="12">
    <w:p w14:paraId="76237CF6" w14:textId="341720AF" w:rsidR="00C10692" w:rsidRDefault="00C10692">
      <w:pPr>
        <w:pStyle w:val="FootnoteText"/>
      </w:pPr>
      <w:r w:rsidRPr="00C10692">
        <w:rPr>
          <w:rStyle w:val="FootnoteReference"/>
          <w:rFonts w:asciiTheme="minorHAnsi" w:hAnsiTheme="minorHAnsi" w:cstheme="minorHAnsi"/>
          <w:sz w:val="18"/>
          <w:szCs w:val="18"/>
        </w:rPr>
        <w:footnoteRef/>
      </w:r>
      <w:r>
        <w:t xml:space="preserve"> </w:t>
      </w:r>
      <w:r w:rsidRPr="00C10692">
        <w:rPr>
          <w:rFonts w:asciiTheme="minorHAnsi" w:hAnsiTheme="minorHAnsi"/>
          <w:sz w:val="18"/>
          <w:szCs w:val="18"/>
        </w:rPr>
        <w:t>Using TABC 2020 calendar year data.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5997A" w14:textId="348F4792" w:rsidR="008C5ECA" w:rsidRDefault="00A728E7">
    <w:pPr>
      <w:pStyle w:val="Header"/>
    </w:pPr>
    <w:r>
      <w:rPr>
        <w:noProof/>
      </w:rPr>
      <w:pict w14:anchorId="7E7CAB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RAFT NOT FOR CIT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4AE9DD" w14:textId="77B98A85" w:rsidR="008C5ECA" w:rsidRDefault="00A728E7">
    <w:pPr>
      <w:pStyle w:val="Header"/>
    </w:pPr>
    <w:r>
      <w:rPr>
        <w:noProof/>
      </w:rPr>
      <w:pict w14:anchorId="0FC1EA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DRAFT NOT FOR CIT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18F247" w14:textId="6EC271A9" w:rsidR="008C5ECA" w:rsidRDefault="008C5EC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2D75E7" w14:textId="4B426CC1" w:rsidR="008C5ECA" w:rsidRDefault="00A728E7">
    <w:pPr>
      <w:pStyle w:val="Header"/>
    </w:pPr>
    <w:r>
      <w:rPr>
        <w:noProof/>
      </w:rPr>
      <w:pict w14:anchorId="79A958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9.85pt;height:89.95pt;rotation:315;z-index:-251649024;mso-position-horizontal:center;mso-position-horizontal-relative:margin;mso-position-vertical:center;mso-position-vertical-relative:margin" o:allowincell="f" fillcolor="silver" stroked="f">
          <v:fill opacity=".5"/>
          <v:textpath style="font-family:&quot;Calibri&quot;;font-size:1pt" string="DRAFT NOT FOR CIT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75253" w14:textId="4E530D91" w:rsidR="008C5ECA" w:rsidRDefault="008C5EC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0C6824" w14:textId="24041265" w:rsidR="008C5ECA" w:rsidRDefault="00A728E7">
    <w:pPr>
      <w:pStyle w:val="Header"/>
    </w:pPr>
    <w:r>
      <w:rPr>
        <w:noProof/>
      </w:rPr>
      <w:pict w14:anchorId="6BBECA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9.85pt;height:89.95pt;rotation:315;z-index:-251651072;mso-position-horizontal:center;mso-position-horizontal-relative:margin;mso-position-vertical:center;mso-position-vertical-relative:margin" o:allowincell="f" fillcolor="silver" stroked="f">
          <v:fill opacity=".5"/>
          <v:textpath style="font-family:&quot;Calibri&quot;;font-size:1pt" string="DRAFT NOT FOR CIT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468"/>
    <w:multiLevelType w:val="hybridMultilevel"/>
    <w:tmpl w:val="0FB886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24AA1"/>
    <w:multiLevelType w:val="hybridMultilevel"/>
    <w:tmpl w:val="B328AB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3B446E"/>
    <w:multiLevelType w:val="hybridMultilevel"/>
    <w:tmpl w:val="FF80938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40157B"/>
    <w:multiLevelType w:val="hybridMultilevel"/>
    <w:tmpl w:val="9C68E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87610E"/>
    <w:multiLevelType w:val="hybridMultilevel"/>
    <w:tmpl w:val="5AAE49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0C4274"/>
    <w:multiLevelType w:val="hybridMultilevel"/>
    <w:tmpl w:val="4EE292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9A2F90"/>
    <w:multiLevelType w:val="hybridMultilevel"/>
    <w:tmpl w:val="A6ACB1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A0MbAwMzcysTAyMDFU0lEKTi0uzszPAykwqwUA+FTe5SwAAAA="/>
  </w:docVars>
  <w:rsids>
    <w:rsidRoot w:val="00916F19"/>
    <w:rsid w:val="0002427F"/>
    <w:rsid w:val="0002497F"/>
    <w:rsid w:val="0002517A"/>
    <w:rsid w:val="00031122"/>
    <w:rsid w:val="00050F1B"/>
    <w:rsid w:val="000522FD"/>
    <w:rsid w:val="000523C8"/>
    <w:rsid w:val="00055FA3"/>
    <w:rsid w:val="0006792C"/>
    <w:rsid w:val="00071BFC"/>
    <w:rsid w:val="00092C94"/>
    <w:rsid w:val="0009461A"/>
    <w:rsid w:val="000A131B"/>
    <w:rsid w:val="000A3D4E"/>
    <w:rsid w:val="000B3ABB"/>
    <w:rsid w:val="000B6B88"/>
    <w:rsid w:val="000C5498"/>
    <w:rsid w:val="000C59F1"/>
    <w:rsid w:val="000D551A"/>
    <w:rsid w:val="000D66E2"/>
    <w:rsid w:val="000E621B"/>
    <w:rsid w:val="000E6609"/>
    <w:rsid w:val="000E77B4"/>
    <w:rsid w:val="000F0648"/>
    <w:rsid w:val="000F0D3B"/>
    <w:rsid w:val="000F1D2C"/>
    <w:rsid w:val="00110E59"/>
    <w:rsid w:val="0011249D"/>
    <w:rsid w:val="00123C63"/>
    <w:rsid w:val="00135C34"/>
    <w:rsid w:val="00136BB2"/>
    <w:rsid w:val="00141F58"/>
    <w:rsid w:val="001473FE"/>
    <w:rsid w:val="0015633D"/>
    <w:rsid w:val="00157EDD"/>
    <w:rsid w:val="00160C76"/>
    <w:rsid w:val="00175EC0"/>
    <w:rsid w:val="00193EDF"/>
    <w:rsid w:val="00195000"/>
    <w:rsid w:val="001A46F2"/>
    <w:rsid w:val="001B1579"/>
    <w:rsid w:val="001B6BA6"/>
    <w:rsid w:val="001C53D8"/>
    <w:rsid w:val="001E2DE6"/>
    <w:rsid w:val="001E6F31"/>
    <w:rsid w:val="001F6BA9"/>
    <w:rsid w:val="00201E8B"/>
    <w:rsid w:val="00210654"/>
    <w:rsid w:val="00215584"/>
    <w:rsid w:val="00216554"/>
    <w:rsid w:val="00217522"/>
    <w:rsid w:val="00221726"/>
    <w:rsid w:val="00232214"/>
    <w:rsid w:val="00236C9F"/>
    <w:rsid w:val="002444E1"/>
    <w:rsid w:val="002534F0"/>
    <w:rsid w:val="00260B49"/>
    <w:rsid w:val="002756A2"/>
    <w:rsid w:val="002854C9"/>
    <w:rsid w:val="00290897"/>
    <w:rsid w:val="00291609"/>
    <w:rsid w:val="0029336F"/>
    <w:rsid w:val="00294310"/>
    <w:rsid w:val="002A451E"/>
    <w:rsid w:val="002B33E2"/>
    <w:rsid w:val="002C0D14"/>
    <w:rsid w:val="002C695C"/>
    <w:rsid w:val="002D1F98"/>
    <w:rsid w:val="002D2F75"/>
    <w:rsid w:val="002E22BE"/>
    <w:rsid w:val="002F4695"/>
    <w:rsid w:val="002F7C9F"/>
    <w:rsid w:val="00326DCC"/>
    <w:rsid w:val="0036032A"/>
    <w:rsid w:val="00373DC6"/>
    <w:rsid w:val="00374EEC"/>
    <w:rsid w:val="00383309"/>
    <w:rsid w:val="00384328"/>
    <w:rsid w:val="00393D24"/>
    <w:rsid w:val="00396504"/>
    <w:rsid w:val="003A1446"/>
    <w:rsid w:val="003A2471"/>
    <w:rsid w:val="003C43F6"/>
    <w:rsid w:val="003C61E6"/>
    <w:rsid w:val="003D05CE"/>
    <w:rsid w:val="003D1D55"/>
    <w:rsid w:val="003D6B39"/>
    <w:rsid w:val="003E33A1"/>
    <w:rsid w:val="00400FA9"/>
    <w:rsid w:val="00406924"/>
    <w:rsid w:val="00406B63"/>
    <w:rsid w:val="00422A86"/>
    <w:rsid w:val="00440598"/>
    <w:rsid w:val="00442F8E"/>
    <w:rsid w:val="0046376B"/>
    <w:rsid w:val="004808AA"/>
    <w:rsid w:val="00486334"/>
    <w:rsid w:val="00490D6F"/>
    <w:rsid w:val="00495990"/>
    <w:rsid w:val="004A7F55"/>
    <w:rsid w:val="004C192B"/>
    <w:rsid w:val="004E3550"/>
    <w:rsid w:val="004F6426"/>
    <w:rsid w:val="004F64D9"/>
    <w:rsid w:val="00521B67"/>
    <w:rsid w:val="005249B9"/>
    <w:rsid w:val="005255A8"/>
    <w:rsid w:val="0054437D"/>
    <w:rsid w:val="00544FA9"/>
    <w:rsid w:val="005614BC"/>
    <w:rsid w:val="005665ED"/>
    <w:rsid w:val="005678C2"/>
    <w:rsid w:val="00573ED0"/>
    <w:rsid w:val="00593E8F"/>
    <w:rsid w:val="00594F3E"/>
    <w:rsid w:val="005A0377"/>
    <w:rsid w:val="005A0CCD"/>
    <w:rsid w:val="005A48D9"/>
    <w:rsid w:val="005A495B"/>
    <w:rsid w:val="005B00C2"/>
    <w:rsid w:val="005B0CCE"/>
    <w:rsid w:val="005C28C6"/>
    <w:rsid w:val="005C7F53"/>
    <w:rsid w:val="005D58F6"/>
    <w:rsid w:val="005F236C"/>
    <w:rsid w:val="005F37CE"/>
    <w:rsid w:val="005F5A21"/>
    <w:rsid w:val="00603798"/>
    <w:rsid w:val="00603A93"/>
    <w:rsid w:val="00605FB7"/>
    <w:rsid w:val="00631321"/>
    <w:rsid w:val="006335BC"/>
    <w:rsid w:val="00636BB2"/>
    <w:rsid w:val="00636F06"/>
    <w:rsid w:val="00643DC1"/>
    <w:rsid w:val="006670AF"/>
    <w:rsid w:val="006675FC"/>
    <w:rsid w:val="006741FD"/>
    <w:rsid w:val="00675555"/>
    <w:rsid w:val="00681005"/>
    <w:rsid w:val="00684EA9"/>
    <w:rsid w:val="00685FE3"/>
    <w:rsid w:val="00686D0C"/>
    <w:rsid w:val="006A1CB8"/>
    <w:rsid w:val="006B6CAB"/>
    <w:rsid w:val="006C1D00"/>
    <w:rsid w:val="006D54C3"/>
    <w:rsid w:val="006D5569"/>
    <w:rsid w:val="006E1A92"/>
    <w:rsid w:val="006E643B"/>
    <w:rsid w:val="006F176F"/>
    <w:rsid w:val="006F3594"/>
    <w:rsid w:val="00700321"/>
    <w:rsid w:val="00703DD6"/>
    <w:rsid w:val="00712C5E"/>
    <w:rsid w:val="00713D34"/>
    <w:rsid w:val="00717706"/>
    <w:rsid w:val="00723D56"/>
    <w:rsid w:val="00723EF5"/>
    <w:rsid w:val="0073010D"/>
    <w:rsid w:val="00731DBE"/>
    <w:rsid w:val="00732618"/>
    <w:rsid w:val="00746CF1"/>
    <w:rsid w:val="00753D14"/>
    <w:rsid w:val="00763670"/>
    <w:rsid w:val="00764CE6"/>
    <w:rsid w:val="00767BC9"/>
    <w:rsid w:val="00772079"/>
    <w:rsid w:val="00772275"/>
    <w:rsid w:val="00780318"/>
    <w:rsid w:val="0078495D"/>
    <w:rsid w:val="007A2260"/>
    <w:rsid w:val="007A41A4"/>
    <w:rsid w:val="007A6DF6"/>
    <w:rsid w:val="007C0174"/>
    <w:rsid w:val="007C1899"/>
    <w:rsid w:val="007D6A4D"/>
    <w:rsid w:val="007F3039"/>
    <w:rsid w:val="007F3704"/>
    <w:rsid w:val="00801AD1"/>
    <w:rsid w:val="00811445"/>
    <w:rsid w:val="008168E6"/>
    <w:rsid w:val="0081796E"/>
    <w:rsid w:val="0082053C"/>
    <w:rsid w:val="0082177C"/>
    <w:rsid w:val="00824674"/>
    <w:rsid w:val="00863B88"/>
    <w:rsid w:val="0086740D"/>
    <w:rsid w:val="008930C5"/>
    <w:rsid w:val="008A12D0"/>
    <w:rsid w:val="008C099C"/>
    <w:rsid w:val="008C5ECA"/>
    <w:rsid w:val="008D3478"/>
    <w:rsid w:val="008D6780"/>
    <w:rsid w:val="008E206D"/>
    <w:rsid w:val="008E395D"/>
    <w:rsid w:val="008F51BC"/>
    <w:rsid w:val="008F7355"/>
    <w:rsid w:val="00900598"/>
    <w:rsid w:val="00903D98"/>
    <w:rsid w:val="00910304"/>
    <w:rsid w:val="009151FF"/>
    <w:rsid w:val="009166EB"/>
    <w:rsid w:val="00916F19"/>
    <w:rsid w:val="00917B08"/>
    <w:rsid w:val="00917F85"/>
    <w:rsid w:val="00921527"/>
    <w:rsid w:val="009228D1"/>
    <w:rsid w:val="0094719A"/>
    <w:rsid w:val="00953966"/>
    <w:rsid w:val="00972CC4"/>
    <w:rsid w:val="00975690"/>
    <w:rsid w:val="0098491E"/>
    <w:rsid w:val="009A6908"/>
    <w:rsid w:val="009B5851"/>
    <w:rsid w:val="009C2554"/>
    <w:rsid w:val="009C37E4"/>
    <w:rsid w:val="009D2CDC"/>
    <w:rsid w:val="009D5AD6"/>
    <w:rsid w:val="009E5E23"/>
    <w:rsid w:val="00A05C7E"/>
    <w:rsid w:val="00A23410"/>
    <w:rsid w:val="00A346BA"/>
    <w:rsid w:val="00A4179C"/>
    <w:rsid w:val="00A456EF"/>
    <w:rsid w:val="00A52FF3"/>
    <w:rsid w:val="00A701F5"/>
    <w:rsid w:val="00A7277B"/>
    <w:rsid w:val="00A728E7"/>
    <w:rsid w:val="00A8154C"/>
    <w:rsid w:val="00A82481"/>
    <w:rsid w:val="00A94030"/>
    <w:rsid w:val="00AA013C"/>
    <w:rsid w:val="00AA1DE0"/>
    <w:rsid w:val="00AC4D54"/>
    <w:rsid w:val="00AC538C"/>
    <w:rsid w:val="00AE2722"/>
    <w:rsid w:val="00AE64D0"/>
    <w:rsid w:val="00AF0106"/>
    <w:rsid w:val="00B03210"/>
    <w:rsid w:val="00B051DC"/>
    <w:rsid w:val="00B141BF"/>
    <w:rsid w:val="00B15B09"/>
    <w:rsid w:val="00B2038B"/>
    <w:rsid w:val="00B325F0"/>
    <w:rsid w:val="00B36360"/>
    <w:rsid w:val="00B36F34"/>
    <w:rsid w:val="00B5249A"/>
    <w:rsid w:val="00B556EB"/>
    <w:rsid w:val="00B64681"/>
    <w:rsid w:val="00B66ECC"/>
    <w:rsid w:val="00BA0FFC"/>
    <w:rsid w:val="00BA13D1"/>
    <w:rsid w:val="00BB7535"/>
    <w:rsid w:val="00BC367D"/>
    <w:rsid w:val="00BD795E"/>
    <w:rsid w:val="00BD7D55"/>
    <w:rsid w:val="00BF304B"/>
    <w:rsid w:val="00C10692"/>
    <w:rsid w:val="00C1339F"/>
    <w:rsid w:val="00C153C3"/>
    <w:rsid w:val="00C157ED"/>
    <w:rsid w:val="00C158B5"/>
    <w:rsid w:val="00C164BF"/>
    <w:rsid w:val="00C2210F"/>
    <w:rsid w:val="00C22FDB"/>
    <w:rsid w:val="00C44500"/>
    <w:rsid w:val="00C44644"/>
    <w:rsid w:val="00C56042"/>
    <w:rsid w:val="00C61D6B"/>
    <w:rsid w:val="00C8244E"/>
    <w:rsid w:val="00C9171D"/>
    <w:rsid w:val="00CA6FBE"/>
    <w:rsid w:val="00CB479E"/>
    <w:rsid w:val="00CC0C9D"/>
    <w:rsid w:val="00CC7119"/>
    <w:rsid w:val="00CD3159"/>
    <w:rsid w:val="00CE5169"/>
    <w:rsid w:val="00CF4234"/>
    <w:rsid w:val="00D131D5"/>
    <w:rsid w:val="00D13A8E"/>
    <w:rsid w:val="00D235CC"/>
    <w:rsid w:val="00D25EF0"/>
    <w:rsid w:val="00D35293"/>
    <w:rsid w:val="00D419D9"/>
    <w:rsid w:val="00D53EF4"/>
    <w:rsid w:val="00D60EF8"/>
    <w:rsid w:val="00D62F6E"/>
    <w:rsid w:val="00D853CF"/>
    <w:rsid w:val="00D864D6"/>
    <w:rsid w:val="00D91630"/>
    <w:rsid w:val="00D963C4"/>
    <w:rsid w:val="00DA3FC5"/>
    <w:rsid w:val="00DB34D8"/>
    <w:rsid w:val="00DB7D1B"/>
    <w:rsid w:val="00DC1434"/>
    <w:rsid w:val="00DC278C"/>
    <w:rsid w:val="00DC4A8B"/>
    <w:rsid w:val="00DC6DCE"/>
    <w:rsid w:val="00DE13E2"/>
    <w:rsid w:val="00DE4B3E"/>
    <w:rsid w:val="00DE77C0"/>
    <w:rsid w:val="00DE79E5"/>
    <w:rsid w:val="00DE7EFC"/>
    <w:rsid w:val="00E01916"/>
    <w:rsid w:val="00E01D5E"/>
    <w:rsid w:val="00E328F1"/>
    <w:rsid w:val="00E5006C"/>
    <w:rsid w:val="00E75300"/>
    <w:rsid w:val="00E76130"/>
    <w:rsid w:val="00E806E8"/>
    <w:rsid w:val="00E93D8D"/>
    <w:rsid w:val="00EB6209"/>
    <w:rsid w:val="00ED1010"/>
    <w:rsid w:val="00ED1685"/>
    <w:rsid w:val="00EE0B6C"/>
    <w:rsid w:val="00EF0A02"/>
    <w:rsid w:val="00EF7516"/>
    <w:rsid w:val="00F170D0"/>
    <w:rsid w:val="00F23182"/>
    <w:rsid w:val="00F27099"/>
    <w:rsid w:val="00F34B3C"/>
    <w:rsid w:val="00F34F56"/>
    <w:rsid w:val="00F37F31"/>
    <w:rsid w:val="00F47F3B"/>
    <w:rsid w:val="00F52880"/>
    <w:rsid w:val="00F54107"/>
    <w:rsid w:val="00F67360"/>
    <w:rsid w:val="00F725B9"/>
    <w:rsid w:val="00F73953"/>
    <w:rsid w:val="00F752E6"/>
    <w:rsid w:val="00F95B58"/>
    <w:rsid w:val="00F96D53"/>
    <w:rsid w:val="00FB6BFD"/>
    <w:rsid w:val="00FC125A"/>
    <w:rsid w:val="00FC1A1C"/>
    <w:rsid w:val="00FC7040"/>
    <w:rsid w:val="00FD1C70"/>
    <w:rsid w:val="00FE386C"/>
    <w:rsid w:val="00FE3BEA"/>
    <w:rsid w:val="00FE5D72"/>
    <w:rsid w:val="00FF0441"/>
    <w:rsid w:val="00FF0E0F"/>
    <w:rsid w:val="00FF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04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9"/>
    <w:rPr>
      <w:sz w:val="24"/>
    </w:rPr>
  </w:style>
  <w:style w:type="paragraph" w:styleId="Heading1">
    <w:name w:val="heading 1"/>
    <w:basedOn w:val="Normal"/>
    <w:link w:val="Heading1Char"/>
    <w:uiPriority w:val="9"/>
    <w:qFormat/>
    <w:rsid w:val="00916F19"/>
    <w:pPr>
      <w:spacing w:before="100" w:beforeAutospacing="1" w:after="100" w:afterAutospacing="1" w:line="240" w:lineRule="auto"/>
      <w:outlineLvl w:val="0"/>
    </w:pPr>
    <w:rPr>
      <w:rFonts w:asciiTheme="majorHAnsi" w:eastAsia="Times New Roman" w:hAnsiTheme="majorHAnsi" w:cs="Times New Roman"/>
      <w:b/>
      <w:bCs/>
      <w:kern w:val="36"/>
      <w:sz w:val="40"/>
      <w:szCs w:val="48"/>
    </w:rPr>
  </w:style>
  <w:style w:type="paragraph" w:styleId="Heading2">
    <w:name w:val="heading 2"/>
    <w:basedOn w:val="Normal"/>
    <w:next w:val="Normal"/>
    <w:link w:val="Heading2Char"/>
    <w:uiPriority w:val="9"/>
    <w:unhideWhenUsed/>
    <w:qFormat/>
    <w:rsid w:val="00916F19"/>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916F19"/>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F19"/>
    <w:rPr>
      <w:rFonts w:asciiTheme="majorHAnsi" w:eastAsia="Times New Roman" w:hAnsiTheme="majorHAnsi" w:cs="Times New Roman"/>
      <w:b/>
      <w:bCs/>
      <w:kern w:val="36"/>
      <w:sz w:val="40"/>
      <w:szCs w:val="48"/>
    </w:rPr>
  </w:style>
  <w:style w:type="character" w:customStyle="1" w:styleId="Heading2Char">
    <w:name w:val="Heading 2 Char"/>
    <w:basedOn w:val="DefaultParagraphFont"/>
    <w:link w:val="Heading2"/>
    <w:uiPriority w:val="9"/>
    <w:rsid w:val="00916F19"/>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916F19"/>
    <w:rPr>
      <w:rFonts w:asciiTheme="majorHAnsi" w:eastAsiaTheme="majorEastAsia" w:hAnsiTheme="majorHAnsi" w:cstheme="majorBidi"/>
      <w:b/>
      <w:color w:val="1F3763" w:themeColor="accent1" w:themeShade="7F"/>
      <w:sz w:val="28"/>
      <w:szCs w:val="24"/>
    </w:rPr>
  </w:style>
  <w:style w:type="character" w:styleId="Hyperlink">
    <w:name w:val="Hyperlink"/>
    <w:basedOn w:val="DefaultParagraphFont"/>
    <w:uiPriority w:val="99"/>
    <w:unhideWhenUsed/>
    <w:rsid w:val="00916F19"/>
    <w:rPr>
      <w:color w:val="0000FF"/>
      <w:u w:val="single"/>
    </w:rPr>
  </w:style>
  <w:style w:type="paragraph" w:styleId="FootnoteText">
    <w:name w:val="footnote text"/>
    <w:basedOn w:val="Normal"/>
    <w:link w:val="FootnoteTextChar"/>
    <w:uiPriority w:val="99"/>
    <w:semiHidden/>
    <w:rsid w:val="00916F19"/>
    <w:pPr>
      <w:spacing w:after="0" w:line="240" w:lineRule="auto"/>
      <w:jc w:val="both"/>
    </w:pPr>
    <w:rPr>
      <w:rFonts w:ascii="Times New Roman" w:eastAsia="Times New Roman" w:hAnsi="Times New Roman" w:cs="Times New Roman"/>
      <w:kern w:val="18"/>
      <w:szCs w:val="20"/>
    </w:rPr>
  </w:style>
  <w:style w:type="character" w:customStyle="1" w:styleId="FootnoteTextChar">
    <w:name w:val="Footnote Text Char"/>
    <w:basedOn w:val="DefaultParagraphFont"/>
    <w:link w:val="FootnoteText"/>
    <w:uiPriority w:val="99"/>
    <w:semiHidden/>
    <w:rsid w:val="00916F19"/>
    <w:rPr>
      <w:rFonts w:ascii="Times New Roman" w:eastAsia="Times New Roman" w:hAnsi="Times New Roman" w:cs="Times New Roman"/>
      <w:kern w:val="18"/>
      <w:sz w:val="24"/>
      <w:szCs w:val="20"/>
    </w:rPr>
  </w:style>
  <w:style w:type="character" w:styleId="FootnoteReference">
    <w:name w:val="footnote reference"/>
    <w:uiPriority w:val="99"/>
    <w:semiHidden/>
    <w:rsid w:val="00916F19"/>
    <w:rPr>
      <w:vertAlign w:val="superscript"/>
    </w:rPr>
  </w:style>
  <w:style w:type="paragraph" w:styleId="BodyText">
    <w:name w:val="Body Text"/>
    <w:basedOn w:val="Normal"/>
    <w:link w:val="BodyTextChar"/>
    <w:uiPriority w:val="1"/>
    <w:qFormat/>
    <w:rsid w:val="00916F19"/>
    <w:pPr>
      <w:widowControl w:val="0"/>
      <w:autoSpaceDE w:val="0"/>
      <w:autoSpaceDN w:val="0"/>
      <w:spacing w:after="0" w:line="240" w:lineRule="auto"/>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916F19"/>
    <w:rPr>
      <w:rFonts w:ascii="Calibri" w:eastAsia="Calibri" w:hAnsi="Calibri" w:cs="Calibri"/>
      <w:sz w:val="24"/>
      <w:szCs w:val="24"/>
      <w:lang w:bidi="en-US"/>
    </w:rPr>
  </w:style>
  <w:style w:type="character" w:styleId="FollowedHyperlink">
    <w:name w:val="FollowedHyperlink"/>
    <w:basedOn w:val="DefaultParagraphFont"/>
    <w:uiPriority w:val="99"/>
    <w:semiHidden/>
    <w:unhideWhenUsed/>
    <w:rsid w:val="002F7C9F"/>
    <w:rPr>
      <w:color w:val="954F72" w:themeColor="followedHyperlink"/>
      <w:u w:val="single"/>
    </w:rPr>
  </w:style>
  <w:style w:type="paragraph" w:styleId="ListParagraph">
    <w:name w:val="List Paragraph"/>
    <w:basedOn w:val="Normal"/>
    <w:uiPriority w:val="1"/>
    <w:qFormat/>
    <w:rsid w:val="000E77B4"/>
    <w:pPr>
      <w:ind w:left="720"/>
      <w:contextualSpacing/>
    </w:pPr>
  </w:style>
  <w:style w:type="paragraph" w:styleId="TOCHeading">
    <w:name w:val="TOC Heading"/>
    <w:basedOn w:val="Heading1"/>
    <w:next w:val="Normal"/>
    <w:uiPriority w:val="39"/>
    <w:unhideWhenUsed/>
    <w:qFormat/>
    <w:rsid w:val="000E77B4"/>
    <w:pPr>
      <w:keepNext/>
      <w:keepLines/>
      <w:spacing w:before="240" w:beforeAutospacing="0" w:after="0" w:afterAutospacing="0" w:line="259" w:lineRule="auto"/>
      <w:jc w:val="center"/>
      <w:outlineLvl w:val="9"/>
    </w:pPr>
    <w:rPr>
      <w:rFonts w:eastAsiaTheme="majorEastAsia" w:cstheme="majorBidi"/>
      <w:bCs w:val="0"/>
      <w:kern w:val="0"/>
      <w:sz w:val="32"/>
      <w:szCs w:val="32"/>
    </w:rPr>
  </w:style>
  <w:style w:type="paragraph" w:styleId="TOC1">
    <w:name w:val="toc 1"/>
    <w:basedOn w:val="Normal"/>
    <w:next w:val="Normal"/>
    <w:autoRedefine/>
    <w:uiPriority w:val="39"/>
    <w:unhideWhenUsed/>
    <w:rsid w:val="000E77B4"/>
    <w:pPr>
      <w:spacing w:after="100"/>
    </w:pPr>
  </w:style>
  <w:style w:type="paragraph" w:styleId="TOC2">
    <w:name w:val="toc 2"/>
    <w:basedOn w:val="Normal"/>
    <w:next w:val="Normal"/>
    <w:autoRedefine/>
    <w:uiPriority w:val="39"/>
    <w:unhideWhenUsed/>
    <w:rsid w:val="000E77B4"/>
    <w:pPr>
      <w:spacing w:after="100"/>
      <w:ind w:left="220"/>
    </w:pPr>
  </w:style>
  <w:style w:type="paragraph" w:styleId="Footer">
    <w:name w:val="footer"/>
    <w:basedOn w:val="Normal"/>
    <w:link w:val="FooterChar"/>
    <w:uiPriority w:val="99"/>
    <w:unhideWhenUsed/>
    <w:rsid w:val="000E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B4"/>
    <w:rPr>
      <w:sz w:val="24"/>
    </w:rPr>
  </w:style>
  <w:style w:type="paragraph" w:styleId="Header">
    <w:name w:val="header"/>
    <w:basedOn w:val="Normal"/>
    <w:link w:val="HeaderChar"/>
    <w:uiPriority w:val="99"/>
    <w:unhideWhenUsed/>
    <w:rsid w:val="00AC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54"/>
    <w:rPr>
      <w:sz w:val="24"/>
    </w:rPr>
  </w:style>
  <w:style w:type="character" w:customStyle="1" w:styleId="UnresolvedMention">
    <w:name w:val="Unresolved Mention"/>
    <w:basedOn w:val="DefaultParagraphFont"/>
    <w:uiPriority w:val="99"/>
    <w:semiHidden/>
    <w:unhideWhenUsed/>
    <w:rsid w:val="007D6A4D"/>
    <w:rPr>
      <w:color w:val="605E5C"/>
      <w:shd w:val="clear" w:color="auto" w:fill="E1DFDD"/>
    </w:rPr>
  </w:style>
  <w:style w:type="paragraph" w:customStyle="1" w:styleId="Default">
    <w:name w:val="Default"/>
    <w:rsid w:val="006741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28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8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9"/>
    <w:rPr>
      <w:sz w:val="24"/>
    </w:rPr>
  </w:style>
  <w:style w:type="paragraph" w:styleId="Heading1">
    <w:name w:val="heading 1"/>
    <w:basedOn w:val="Normal"/>
    <w:link w:val="Heading1Char"/>
    <w:uiPriority w:val="9"/>
    <w:qFormat/>
    <w:rsid w:val="00916F19"/>
    <w:pPr>
      <w:spacing w:before="100" w:beforeAutospacing="1" w:after="100" w:afterAutospacing="1" w:line="240" w:lineRule="auto"/>
      <w:outlineLvl w:val="0"/>
    </w:pPr>
    <w:rPr>
      <w:rFonts w:asciiTheme="majorHAnsi" w:eastAsia="Times New Roman" w:hAnsiTheme="majorHAnsi" w:cs="Times New Roman"/>
      <w:b/>
      <w:bCs/>
      <w:kern w:val="36"/>
      <w:sz w:val="40"/>
      <w:szCs w:val="48"/>
    </w:rPr>
  </w:style>
  <w:style w:type="paragraph" w:styleId="Heading2">
    <w:name w:val="heading 2"/>
    <w:basedOn w:val="Normal"/>
    <w:next w:val="Normal"/>
    <w:link w:val="Heading2Char"/>
    <w:uiPriority w:val="9"/>
    <w:unhideWhenUsed/>
    <w:qFormat/>
    <w:rsid w:val="00916F19"/>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916F19"/>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F19"/>
    <w:rPr>
      <w:rFonts w:asciiTheme="majorHAnsi" w:eastAsia="Times New Roman" w:hAnsiTheme="majorHAnsi" w:cs="Times New Roman"/>
      <w:b/>
      <w:bCs/>
      <w:kern w:val="36"/>
      <w:sz w:val="40"/>
      <w:szCs w:val="48"/>
    </w:rPr>
  </w:style>
  <w:style w:type="character" w:customStyle="1" w:styleId="Heading2Char">
    <w:name w:val="Heading 2 Char"/>
    <w:basedOn w:val="DefaultParagraphFont"/>
    <w:link w:val="Heading2"/>
    <w:uiPriority w:val="9"/>
    <w:rsid w:val="00916F19"/>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916F19"/>
    <w:rPr>
      <w:rFonts w:asciiTheme="majorHAnsi" w:eastAsiaTheme="majorEastAsia" w:hAnsiTheme="majorHAnsi" w:cstheme="majorBidi"/>
      <w:b/>
      <w:color w:val="1F3763" w:themeColor="accent1" w:themeShade="7F"/>
      <w:sz w:val="28"/>
      <w:szCs w:val="24"/>
    </w:rPr>
  </w:style>
  <w:style w:type="character" w:styleId="Hyperlink">
    <w:name w:val="Hyperlink"/>
    <w:basedOn w:val="DefaultParagraphFont"/>
    <w:uiPriority w:val="99"/>
    <w:unhideWhenUsed/>
    <w:rsid w:val="00916F19"/>
    <w:rPr>
      <w:color w:val="0000FF"/>
      <w:u w:val="single"/>
    </w:rPr>
  </w:style>
  <w:style w:type="paragraph" w:styleId="FootnoteText">
    <w:name w:val="footnote text"/>
    <w:basedOn w:val="Normal"/>
    <w:link w:val="FootnoteTextChar"/>
    <w:uiPriority w:val="99"/>
    <w:semiHidden/>
    <w:rsid w:val="00916F19"/>
    <w:pPr>
      <w:spacing w:after="0" w:line="240" w:lineRule="auto"/>
      <w:jc w:val="both"/>
    </w:pPr>
    <w:rPr>
      <w:rFonts w:ascii="Times New Roman" w:eastAsia="Times New Roman" w:hAnsi="Times New Roman" w:cs="Times New Roman"/>
      <w:kern w:val="18"/>
      <w:szCs w:val="20"/>
    </w:rPr>
  </w:style>
  <w:style w:type="character" w:customStyle="1" w:styleId="FootnoteTextChar">
    <w:name w:val="Footnote Text Char"/>
    <w:basedOn w:val="DefaultParagraphFont"/>
    <w:link w:val="FootnoteText"/>
    <w:uiPriority w:val="99"/>
    <w:semiHidden/>
    <w:rsid w:val="00916F19"/>
    <w:rPr>
      <w:rFonts w:ascii="Times New Roman" w:eastAsia="Times New Roman" w:hAnsi="Times New Roman" w:cs="Times New Roman"/>
      <w:kern w:val="18"/>
      <w:sz w:val="24"/>
      <w:szCs w:val="20"/>
    </w:rPr>
  </w:style>
  <w:style w:type="character" w:styleId="FootnoteReference">
    <w:name w:val="footnote reference"/>
    <w:uiPriority w:val="99"/>
    <w:semiHidden/>
    <w:rsid w:val="00916F19"/>
    <w:rPr>
      <w:vertAlign w:val="superscript"/>
    </w:rPr>
  </w:style>
  <w:style w:type="paragraph" w:styleId="BodyText">
    <w:name w:val="Body Text"/>
    <w:basedOn w:val="Normal"/>
    <w:link w:val="BodyTextChar"/>
    <w:uiPriority w:val="1"/>
    <w:qFormat/>
    <w:rsid w:val="00916F19"/>
    <w:pPr>
      <w:widowControl w:val="0"/>
      <w:autoSpaceDE w:val="0"/>
      <w:autoSpaceDN w:val="0"/>
      <w:spacing w:after="0" w:line="240" w:lineRule="auto"/>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916F19"/>
    <w:rPr>
      <w:rFonts w:ascii="Calibri" w:eastAsia="Calibri" w:hAnsi="Calibri" w:cs="Calibri"/>
      <w:sz w:val="24"/>
      <w:szCs w:val="24"/>
      <w:lang w:bidi="en-US"/>
    </w:rPr>
  </w:style>
  <w:style w:type="character" w:styleId="FollowedHyperlink">
    <w:name w:val="FollowedHyperlink"/>
    <w:basedOn w:val="DefaultParagraphFont"/>
    <w:uiPriority w:val="99"/>
    <w:semiHidden/>
    <w:unhideWhenUsed/>
    <w:rsid w:val="002F7C9F"/>
    <w:rPr>
      <w:color w:val="954F72" w:themeColor="followedHyperlink"/>
      <w:u w:val="single"/>
    </w:rPr>
  </w:style>
  <w:style w:type="paragraph" w:styleId="ListParagraph">
    <w:name w:val="List Paragraph"/>
    <w:basedOn w:val="Normal"/>
    <w:uiPriority w:val="1"/>
    <w:qFormat/>
    <w:rsid w:val="000E77B4"/>
    <w:pPr>
      <w:ind w:left="720"/>
      <w:contextualSpacing/>
    </w:pPr>
  </w:style>
  <w:style w:type="paragraph" w:styleId="TOCHeading">
    <w:name w:val="TOC Heading"/>
    <w:basedOn w:val="Heading1"/>
    <w:next w:val="Normal"/>
    <w:uiPriority w:val="39"/>
    <w:unhideWhenUsed/>
    <w:qFormat/>
    <w:rsid w:val="000E77B4"/>
    <w:pPr>
      <w:keepNext/>
      <w:keepLines/>
      <w:spacing w:before="240" w:beforeAutospacing="0" w:after="0" w:afterAutospacing="0" w:line="259" w:lineRule="auto"/>
      <w:jc w:val="center"/>
      <w:outlineLvl w:val="9"/>
    </w:pPr>
    <w:rPr>
      <w:rFonts w:eastAsiaTheme="majorEastAsia" w:cstheme="majorBidi"/>
      <w:bCs w:val="0"/>
      <w:kern w:val="0"/>
      <w:sz w:val="32"/>
      <w:szCs w:val="32"/>
    </w:rPr>
  </w:style>
  <w:style w:type="paragraph" w:styleId="TOC1">
    <w:name w:val="toc 1"/>
    <w:basedOn w:val="Normal"/>
    <w:next w:val="Normal"/>
    <w:autoRedefine/>
    <w:uiPriority w:val="39"/>
    <w:unhideWhenUsed/>
    <w:rsid w:val="000E77B4"/>
    <w:pPr>
      <w:spacing w:after="100"/>
    </w:pPr>
  </w:style>
  <w:style w:type="paragraph" w:styleId="TOC2">
    <w:name w:val="toc 2"/>
    <w:basedOn w:val="Normal"/>
    <w:next w:val="Normal"/>
    <w:autoRedefine/>
    <w:uiPriority w:val="39"/>
    <w:unhideWhenUsed/>
    <w:rsid w:val="000E77B4"/>
    <w:pPr>
      <w:spacing w:after="100"/>
      <w:ind w:left="220"/>
    </w:pPr>
  </w:style>
  <w:style w:type="paragraph" w:styleId="Footer">
    <w:name w:val="footer"/>
    <w:basedOn w:val="Normal"/>
    <w:link w:val="FooterChar"/>
    <w:uiPriority w:val="99"/>
    <w:unhideWhenUsed/>
    <w:rsid w:val="000E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B4"/>
    <w:rPr>
      <w:sz w:val="24"/>
    </w:rPr>
  </w:style>
  <w:style w:type="paragraph" w:styleId="Header">
    <w:name w:val="header"/>
    <w:basedOn w:val="Normal"/>
    <w:link w:val="HeaderChar"/>
    <w:uiPriority w:val="99"/>
    <w:unhideWhenUsed/>
    <w:rsid w:val="00AC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54"/>
    <w:rPr>
      <w:sz w:val="24"/>
    </w:rPr>
  </w:style>
  <w:style w:type="character" w:customStyle="1" w:styleId="UnresolvedMention">
    <w:name w:val="Unresolved Mention"/>
    <w:basedOn w:val="DefaultParagraphFont"/>
    <w:uiPriority w:val="99"/>
    <w:semiHidden/>
    <w:unhideWhenUsed/>
    <w:rsid w:val="007D6A4D"/>
    <w:rPr>
      <w:color w:val="605E5C"/>
      <w:shd w:val="clear" w:color="auto" w:fill="E1DFDD"/>
    </w:rPr>
  </w:style>
  <w:style w:type="paragraph" w:customStyle="1" w:styleId="Default">
    <w:name w:val="Default"/>
    <w:rsid w:val="006741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28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8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3635">
      <w:bodyDiv w:val="1"/>
      <w:marLeft w:val="0"/>
      <w:marRight w:val="0"/>
      <w:marTop w:val="0"/>
      <w:marBottom w:val="0"/>
      <w:divBdr>
        <w:top w:val="none" w:sz="0" w:space="0" w:color="auto"/>
        <w:left w:val="none" w:sz="0" w:space="0" w:color="auto"/>
        <w:bottom w:val="none" w:sz="0" w:space="0" w:color="auto"/>
        <w:right w:val="none" w:sz="0" w:space="0" w:color="auto"/>
      </w:divBdr>
    </w:div>
    <w:div w:id="20059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implanhelp.zendesk.com/hc/en-us/articles/115009668388-Output" TargetMode="External"/><Relationship Id="rId4" Type="http://schemas.openxmlformats.org/officeDocument/2006/relationships/hyperlink" Target="https://implanhelp.zendesk.com/hc/en-us/articles/115009498847-Value-Added" TargetMode="External"/><Relationship Id="rId1" Type="http://schemas.openxmlformats.org/officeDocument/2006/relationships/hyperlink" Target="https://implanhelp.zendesk.com/hc/en-us/articles/115009679628-Income-FAQ" TargetMode="External"/><Relationship Id="rId2" Type="http://schemas.openxmlformats.org/officeDocument/2006/relationships/hyperlink" Target="http://www.IM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F052-D241-634E-8CB0-EBA78623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3029</Words>
  <Characters>17267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Oyakawa</dc:creator>
  <cp:keywords/>
  <dc:description/>
  <cp:lastModifiedBy>Kevin Wier</cp:lastModifiedBy>
  <cp:revision>3</cp:revision>
  <cp:lastPrinted>2022-05-31T13:07:00Z</cp:lastPrinted>
  <dcterms:created xsi:type="dcterms:W3CDTF">2022-06-20T21:48:00Z</dcterms:created>
  <dcterms:modified xsi:type="dcterms:W3CDTF">2022-06-20T21:53:00Z</dcterms:modified>
</cp:coreProperties>
</file>